
<file path=[Content_Types].xml><?xml version="1.0" encoding="utf-8"?>
<Types xmlns="http://schemas.openxmlformats.org/package/2006/content-types">
  <Default Extension="a1x" ContentType="image/x-emf"/>
  <Default Extension="ars" ContentType="image/x-emf"/>
  <Default Extension="n1l"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lank"/>
        <w:tblW w:w="9649" w:type="dxa"/>
        <w:tblLayout w:type="fixed"/>
        <w:tblLook w:val="0600" w:firstRow="0" w:lastRow="0" w:firstColumn="0" w:lastColumn="0" w:noHBand="1" w:noVBand="1"/>
      </w:tblPr>
      <w:tblGrid>
        <w:gridCol w:w="9649"/>
      </w:tblGrid>
      <w:tr w:rsidR="0036440D" w:rsidRPr="00DC4F35" w14:paraId="09FF2953" w14:textId="77777777" w:rsidTr="00686F16">
        <w:trPr>
          <w:trHeight w:val="2523"/>
        </w:trPr>
        <w:tc>
          <w:tcPr>
            <w:tcW w:w="9649" w:type="dxa"/>
            <w:vAlign w:val="bottom"/>
          </w:tcPr>
          <w:p w14:paraId="0A556B39" w14:textId="2B548F84" w:rsidR="0036440D" w:rsidRPr="00DC4F35" w:rsidRDefault="0036440D" w:rsidP="00686F16">
            <w:pPr>
              <w:pStyle w:val="Titel"/>
              <w:jc w:val="both"/>
            </w:pPr>
            <w:bookmarkStart w:id="0" w:name="officeextensionsstart"/>
            <w:bookmarkStart w:id="1" w:name="start"/>
            <w:bookmarkStart w:id="2" w:name="_Hlk65593723"/>
            <w:bookmarkEnd w:id="0"/>
            <w:bookmarkEnd w:id="1"/>
            <w:r w:rsidRPr="00DC4F35">
              <w:t xml:space="preserve">Transfer </w:t>
            </w:r>
            <w:proofErr w:type="spellStart"/>
            <w:r w:rsidRPr="00DC4F35">
              <w:t>Impact</w:t>
            </w:r>
            <w:proofErr w:type="spellEnd"/>
            <w:r w:rsidRPr="00DC4F35">
              <w:t xml:space="preserve"> </w:t>
            </w:r>
            <w:proofErr w:type="spellStart"/>
            <w:r w:rsidRPr="00DC4F35">
              <w:t>Assessment</w:t>
            </w:r>
            <w:proofErr w:type="spellEnd"/>
            <w:r w:rsidRPr="00DC4F35">
              <w:t xml:space="preserve"> (TIA) til vurdering af internationale overførsler af person</w:t>
            </w:r>
            <w:r w:rsidR="00512C91" w:rsidRPr="00DC4F35">
              <w:t>oplysninger</w:t>
            </w:r>
            <w:r w:rsidR="00592814" w:rsidRPr="00DC4F35">
              <w:t xml:space="preserve"> ved </w:t>
            </w:r>
            <w:r w:rsidRPr="00DC4F35">
              <w:t xml:space="preserve">brug af </w:t>
            </w:r>
            <w:r w:rsidR="006A485B" w:rsidRPr="00DC4F35">
              <w:t xml:space="preserve">udvalgte applikationer og cloudtjenester i </w:t>
            </w:r>
            <w:r w:rsidRPr="00DC4F35">
              <w:t xml:space="preserve">Microsoft </w:t>
            </w:r>
            <w:r w:rsidR="006A485B" w:rsidRPr="00DC4F35">
              <w:t>365</w:t>
            </w:r>
            <w:r w:rsidR="00512C91" w:rsidRPr="00DC4F35">
              <w:t xml:space="preserve"> samt supportydelser i forbindelse hermed</w:t>
            </w:r>
          </w:p>
        </w:tc>
      </w:tr>
    </w:tbl>
    <w:p w14:paraId="1CE110CC" w14:textId="77777777" w:rsidR="0036440D" w:rsidRPr="00DC4F35" w:rsidRDefault="0036440D" w:rsidP="0036440D"/>
    <w:p w14:paraId="014E2C11" w14:textId="77777777" w:rsidR="0036440D" w:rsidRPr="00DC4F35" w:rsidRDefault="0036440D" w:rsidP="0036440D">
      <w:r w:rsidRPr="00DC4F35">
        <w:t xml:space="preserve"> </w:t>
      </w:r>
    </w:p>
    <w:p w14:paraId="2EFD465E" w14:textId="77777777" w:rsidR="0036440D" w:rsidRPr="00DC4F35" w:rsidRDefault="0036440D" w:rsidP="0036440D"/>
    <w:p w14:paraId="458154D9" w14:textId="77777777" w:rsidR="0036440D" w:rsidRPr="00DC4F35" w:rsidRDefault="0036440D" w:rsidP="0036440D"/>
    <w:p w14:paraId="0DA0DFDD" w14:textId="77777777" w:rsidR="0036440D" w:rsidRPr="00DC4F35" w:rsidRDefault="0036440D" w:rsidP="0036440D"/>
    <w:p w14:paraId="0A607C32" w14:textId="6BE22C9F" w:rsidR="0036440D" w:rsidRPr="00DC4F35" w:rsidRDefault="006A485B" w:rsidP="0036440D">
      <w:pPr>
        <w:rPr>
          <w:iCs/>
        </w:rPr>
      </w:pPr>
      <w:r w:rsidRPr="00DC4F35">
        <w:t>Da</w:t>
      </w:r>
      <w:r w:rsidR="0036440D" w:rsidRPr="00DC4F35">
        <w:t xml:space="preserve">taansvarlig: </w:t>
      </w:r>
      <w:r w:rsidR="00584314">
        <w:t>Økonomistyrelsen</w:t>
      </w:r>
    </w:p>
    <w:p w14:paraId="4CB37BCF" w14:textId="77777777" w:rsidR="00D66E4C" w:rsidRPr="00DC4F35" w:rsidRDefault="00D66E4C" w:rsidP="0036440D"/>
    <w:p w14:paraId="6E387830" w14:textId="3379AD61" w:rsidR="006A485B" w:rsidRPr="00DC4F35" w:rsidRDefault="006A485B" w:rsidP="006A485B">
      <w:r w:rsidRPr="00DC4F35">
        <w:rPr>
          <w:iCs/>
        </w:rPr>
        <w:t xml:space="preserve">Ansvarlige for udarbejdelse af </w:t>
      </w:r>
      <w:r w:rsidR="008D6148" w:rsidRPr="00DC4F35">
        <w:rPr>
          <w:iCs/>
        </w:rPr>
        <w:t xml:space="preserve">denne </w:t>
      </w:r>
      <w:r w:rsidRPr="00DC4F35">
        <w:rPr>
          <w:iCs/>
        </w:rPr>
        <w:t>TIA</w:t>
      </w:r>
      <w:r w:rsidR="008D6148" w:rsidRPr="00DC4F35">
        <w:rPr>
          <w:iCs/>
        </w:rPr>
        <w:t>:</w:t>
      </w:r>
      <w:r w:rsidRPr="00DC4F35">
        <w:rPr>
          <w:iCs/>
        </w:rPr>
        <w:t xml:space="preserve"> Økonomistyrelsen</w:t>
      </w:r>
      <w:r w:rsidR="00584314">
        <w:rPr>
          <w:iCs/>
        </w:rPr>
        <w:t xml:space="preserve"> og Statens It</w:t>
      </w:r>
    </w:p>
    <w:p w14:paraId="0767C140" w14:textId="77777777" w:rsidR="006A485B" w:rsidRPr="00DC4F35" w:rsidRDefault="006A485B" w:rsidP="006A485B"/>
    <w:p w14:paraId="326D78CF" w14:textId="3F9D120E" w:rsidR="006A485B" w:rsidRPr="00DC4F35" w:rsidRDefault="006A485B" w:rsidP="006A485B">
      <w:r w:rsidRPr="00DC4F35">
        <w:t>Ansvarlige kontaktpersoner hos Statens I</w:t>
      </w:r>
      <w:r w:rsidR="00AC338B" w:rsidRPr="00DC4F35">
        <w:t>t</w:t>
      </w:r>
      <w:r w:rsidRPr="00DC4F35">
        <w:t xml:space="preserve"> og Økonomistyrelsen: Helle </w:t>
      </w:r>
      <w:proofErr w:type="spellStart"/>
      <w:r w:rsidRPr="00DC4F35">
        <w:t>Uldbæk</w:t>
      </w:r>
      <w:proofErr w:type="spellEnd"/>
      <w:r w:rsidRPr="00DC4F35">
        <w:t xml:space="preserve"> Sørensen og Nicolaj Haahr Hartbøl</w:t>
      </w:r>
    </w:p>
    <w:p w14:paraId="2CC07EC2" w14:textId="77777777" w:rsidR="006A485B" w:rsidRPr="00DC4F35" w:rsidRDefault="006A485B" w:rsidP="006A485B"/>
    <w:p w14:paraId="6FCB9EFB" w14:textId="5DFD224D" w:rsidR="006A485B" w:rsidRPr="00DC4F35" w:rsidRDefault="006A485B" w:rsidP="006A485B">
      <w:r w:rsidRPr="00DC4F35">
        <w:t xml:space="preserve">Dato: </w:t>
      </w:r>
      <w:r w:rsidR="00016408">
        <w:t>26. september 2024</w:t>
      </w:r>
    </w:p>
    <w:p w14:paraId="719F0076" w14:textId="77777777" w:rsidR="006A485B" w:rsidRPr="00DC4F35" w:rsidRDefault="006A485B" w:rsidP="006A485B"/>
    <w:p w14:paraId="7BE1A3AD" w14:textId="5319C96D" w:rsidR="006A485B" w:rsidRPr="00DC4F35" w:rsidRDefault="006A485B" w:rsidP="006A485B">
      <w:r w:rsidRPr="00DC4F35">
        <w:t xml:space="preserve">Databeskyttelsesrådgiver (DPO) hos </w:t>
      </w:r>
      <w:r w:rsidR="008D6148" w:rsidRPr="00DC4F35">
        <w:t>den dataansvarlige</w:t>
      </w:r>
      <w:r w:rsidRPr="00DC4F35">
        <w:t xml:space="preserve">: </w:t>
      </w:r>
      <w:r w:rsidR="00016408">
        <w:t xml:space="preserve">Maibritt </w:t>
      </w:r>
      <w:proofErr w:type="spellStart"/>
      <w:r w:rsidR="00016408">
        <w:t>Zuchske</w:t>
      </w:r>
      <w:proofErr w:type="spellEnd"/>
    </w:p>
    <w:p w14:paraId="284A0A1C" w14:textId="77777777" w:rsidR="0036440D" w:rsidRPr="00DC4F35" w:rsidRDefault="0036440D" w:rsidP="0036440D">
      <w:pPr>
        <w:jc w:val="left"/>
      </w:pPr>
    </w:p>
    <w:p w14:paraId="3B72992E" w14:textId="597C23DB" w:rsidR="0036440D" w:rsidRPr="00DC4F35" w:rsidRDefault="0036440D" w:rsidP="0036440D">
      <w:pPr>
        <w:jc w:val="left"/>
        <w:rPr>
          <w:lang w:eastAsia="da-DK"/>
        </w:rPr>
      </w:pPr>
      <w:r w:rsidRPr="00DC4F35">
        <w:t xml:space="preserve">Konklusion: </w:t>
      </w:r>
      <w:r w:rsidRPr="00DC4F35">
        <w:tab/>
      </w:r>
      <w:r w:rsidRPr="00DC4F35">
        <w:rPr>
          <w:lang w:eastAsia="da-DK"/>
        </w:rPr>
        <w:t>Overførsle</w:t>
      </w:r>
      <w:r w:rsidR="0074781D" w:rsidRPr="00DC4F35">
        <w:rPr>
          <w:lang w:eastAsia="da-DK"/>
        </w:rPr>
        <w:t>rne</w:t>
      </w:r>
      <w:r w:rsidRPr="00DC4F35">
        <w:rPr>
          <w:lang w:eastAsia="da-DK"/>
        </w:rPr>
        <w:t xml:space="preserve"> kan godkendes på de i afsnit </w:t>
      </w:r>
      <w:r w:rsidR="0074781D" w:rsidRPr="00DC4F35">
        <w:rPr>
          <w:lang w:eastAsia="da-DK"/>
        </w:rPr>
        <w:t>3</w:t>
      </w:r>
      <w:r w:rsidRPr="00DC4F35">
        <w:rPr>
          <w:lang w:eastAsia="da-DK"/>
        </w:rPr>
        <w:t>-</w:t>
      </w:r>
      <w:r w:rsidR="0074781D" w:rsidRPr="00DC4F35">
        <w:rPr>
          <w:lang w:eastAsia="da-DK"/>
        </w:rPr>
        <w:t>8</w:t>
      </w:r>
      <w:r w:rsidRPr="00DC4F35">
        <w:rPr>
          <w:lang w:eastAsia="da-DK"/>
        </w:rPr>
        <w:t xml:space="preserve"> beskrevne forudsætninger og vilkår.</w:t>
      </w:r>
    </w:p>
    <w:p w14:paraId="77C9F1CD" w14:textId="77777777" w:rsidR="00BC5AAE" w:rsidRPr="00DC4F35" w:rsidRDefault="00BC5AAE" w:rsidP="0036440D">
      <w:pPr>
        <w:jc w:val="left"/>
        <w:rPr>
          <w:lang w:eastAsia="da-DK"/>
        </w:rPr>
      </w:pPr>
    </w:p>
    <w:p w14:paraId="6514C903" w14:textId="77777777" w:rsidR="00BC5AAE" w:rsidRPr="00DC4F35" w:rsidRDefault="00BC5AAE" w:rsidP="0036440D">
      <w:pPr>
        <w:jc w:val="left"/>
        <w:rPr>
          <w:lang w:eastAsia="da-DK"/>
        </w:rPr>
      </w:pPr>
    </w:p>
    <w:p w14:paraId="52812290" w14:textId="77777777" w:rsidR="00BC5AAE" w:rsidRPr="00DC4F35" w:rsidRDefault="00BC5AAE" w:rsidP="0036440D">
      <w:pPr>
        <w:jc w:val="left"/>
        <w:rPr>
          <w:lang w:eastAsia="da-DK"/>
        </w:rPr>
      </w:pPr>
    </w:p>
    <w:tbl>
      <w:tblPr>
        <w:tblStyle w:val="Tabel-Gitter"/>
        <w:tblW w:w="9776" w:type="dxa"/>
        <w:tblLook w:val="04A0" w:firstRow="1" w:lastRow="0" w:firstColumn="1" w:lastColumn="0" w:noHBand="0" w:noVBand="1"/>
      </w:tblPr>
      <w:tblGrid>
        <w:gridCol w:w="2830"/>
        <w:gridCol w:w="6946"/>
      </w:tblGrid>
      <w:tr w:rsidR="0036440D" w:rsidRPr="00DC4F35" w14:paraId="242DB391" w14:textId="77777777" w:rsidTr="00016408">
        <w:tc>
          <w:tcPr>
            <w:tcW w:w="2830" w:type="dxa"/>
            <w:shd w:val="clear" w:color="auto" w:fill="8AD2F1" w:themeFill="background2"/>
          </w:tcPr>
          <w:p w14:paraId="501D66A0" w14:textId="77777777" w:rsidR="0036440D" w:rsidRPr="00DC4F35" w:rsidRDefault="0036440D" w:rsidP="00C83C91">
            <w:r w:rsidRPr="00DC4F35">
              <w:t>Version</w:t>
            </w:r>
          </w:p>
        </w:tc>
        <w:tc>
          <w:tcPr>
            <w:tcW w:w="6946" w:type="dxa"/>
            <w:shd w:val="clear" w:color="auto" w:fill="8AD2F1" w:themeFill="background2"/>
          </w:tcPr>
          <w:p w14:paraId="12F6E14B" w14:textId="77777777" w:rsidR="0036440D" w:rsidRPr="00DC4F35" w:rsidRDefault="0036440D" w:rsidP="00C83C91">
            <w:r w:rsidRPr="00DC4F35">
              <w:t>Kommentar</w:t>
            </w:r>
          </w:p>
        </w:tc>
      </w:tr>
      <w:tr w:rsidR="0036440D" w:rsidRPr="00DC4F35" w14:paraId="17859808" w14:textId="77777777" w:rsidTr="00016408">
        <w:tc>
          <w:tcPr>
            <w:tcW w:w="2830" w:type="dxa"/>
          </w:tcPr>
          <w:p w14:paraId="084E99CC" w14:textId="1F513231" w:rsidR="0036440D" w:rsidRPr="00DC4F35" w:rsidRDefault="008D6148" w:rsidP="00016408">
            <w:pPr>
              <w:jc w:val="left"/>
            </w:pPr>
            <w:r w:rsidRPr="00DC4F35">
              <w:t>1.0</w:t>
            </w:r>
            <w:r w:rsidR="00AF34C8">
              <w:t xml:space="preserve"> </w:t>
            </w:r>
            <w:r w:rsidR="00016408">
              <w:t>september 202</w:t>
            </w:r>
          </w:p>
        </w:tc>
        <w:tc>
          <w:tcPr>
            <w:tcW w:w="6946" w:type="dxa"/>
          </w:tcPr>
          <w:p w14:paraId="4A6ECB99" w14:textId="77777777" w:rsidR="0036440D" w:rsidRPr="00DC4F35" w:rsidRDefault="0036440D" w:rsidP="00C83C91">
            <w:r w:rsidRPr="00DC4F35">
              <w:t>Udarbejdelse af første version af TIA</w:t>
            </w:r>
          </w:p>
        </w:tc>
      </w:tr>
      <w:tr w:rsidR="008D6148" w:rsidRPr="00DC4F35" w14:paraId="5C50CB6D" w14:textId="77777777" w:rsidTr="00016408">
        <w:tc>
          <w:tcPr>
            <w:tcW w:w="2830" w:type="dxa"/>
          </w:tcPr>
          <w:p w14:paraId="2BED0030" w14:textId="77777777" w:rsidR="008D6148" w:rsidRPr="00DC4F35" w:rsidRDefault="008D6148" w:rsidP="00C83C91">
            <w:pPr>
              <w:jc w:val="left"/>
              <w:rPr>
                <w:highlight w:val="yellow"/>
              </w:rPr>
            </w:pPr>
          </w:p>
        </w:tc>
        <w:tc>
          <w:tcPr>
            <w:tcW w:w="6946" w:type="dxa"/>
          </w:tcPr>
          <w:p w14:paraId="3E2CEB6F" w14:textId="77777777" w:rsidR="008D6148" w:rsidRPr="00DC4F35" w:rsidRDefault="008D6148" w:rsidP="00C83C91"/>
        </w:tc>
      </w:tr>
    </w:tbl>
    <w:sdt>
      <w:sdtPr>
        <w:rPr>
          <w:rFonts w:eastAsiaTheme="minorHAnsi" w:cs="Verdana"/>
          <w:bCs/>
          <w:caps/>
          <w:noProof/>
          <w:sz w:val="20"/>
          <w:szCs w:val="20"/>
        </w:rPr>
        <w:id w:val="-1447613660"/>
        <w:docPartObj>
          <w:docPartGallery w:val="Table of Contents"/>
          <w:docPartUnique/>
        </w:docPartObj>
      </w:sdtPr>
      <w:sdtEndPr>
        <w:rPr>
          <w:rFonts w:eastAsia="Times New Roman" w:cs="Times New Roman"/>
          <w:b/>
          <w:sz w:val="18"/>
        </w:rPr>
      </w:sdtEndPr>
      <w:sdtContent>
        <w:p w14:paraId="1CC7FF4B" w14:textId="77777777" w:rsidR="008D6148" w:rsidRPr="00DC4F35" w:rsidRDefault="008D6148" w:rsidP="0036440D">
          <w:pPr>
            <w:pStyle w:val="Overskrift"/>
            <w:rPr>
              <w:rFonts w:eastAsiaTheme="minorHAnsi" w:cs="Verdana"/>
              <w:bCs/>
              <w:caps/>
              <w:noProof/>
              <w:sz w:val="20"/>
              <w:szCs w:val="20"/>
            </w:rPr>
          </w:pPr>
        </w:p>
        <w:p w14:paraId="0712DF4B" w14:textId="7FE20432" w:rsidR="0036440D" w:rsidRPr="00DC4F35" w:rsidRDefault="0036440D" w:rsidP="0036440D">
          <w:pPr>
            <w:pStyle w:val="Overskrift"/>
          </w:pPr>
          <w:r w:rsidRPr="00DC4F35">
            <w:lastRenderedPageBreak/>
            <w:t>Indhold</w:t>
          </w:r>
        </w:p>
        <w:p w14:paraId="27CE9FE6" w14:textId="778D9850" w:rsidR="00803356" w:rsidRDefault="0036440D">
          <w:pPr>
            <w:pStyle w:val="Indholdsfortegnelse1"/>
            <w:rPr>
              <w:rFonts w:asciiTheme="minorHAnsi" w:eastAsiaTheme="minorEastAsia" w:hAnsiTheme="minorHAnsi" w:cstheme="minorBidi"/>
              <w:bCs w:val="0"/>
              <w:caps w:val="0"/>
              <w:kern w:val="2"/>
              <w:sz w:val="22"/>
              <w:szCs w:val="22"/>
              <w:lang w:eastAsia="da-DK"/>
              <w14:ligatures w14:val="standardContextual"/>
            </w:rPr>
          </w:pPr>
          <w:r w:rsidRPr="00DC4F35">
            <w:fldChar w:fldCharType="begin"/>
          </w:r>
          <w:r w:rsidRPr="00DC4F35">
            <w:instrText xml:space="preserve"> TOC \o "2-3" \h \z \t "Overskrift 1;1;Overskrift 9;4" </w:instrText>
          </w:r>
          <w:r w:rsidRPr="00DC4F35">
            <w:fldChar w:fldCharType="separate"/>
          </w:r>
          <w:hyperlink w:anchor="_Toc170824017" w:history="1">
            <w:r w:rsidR="00803356" w:rsidRPr="002B3655">
              <w:rPr>
                <w:rStyle w:val="Hyperlink"/>
              </w:rPr>
              <w:t>1.</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Formålet med og opbygningen af denne transfer impact assessment</w:t>
            </w:r>
            <w:r w:rsidR="00803356">
              <w:rPr>
                <w:webHidden/>
              </w:rPr>
              <w:tab/>
            </w:r>
            <w:r w:rsidR="00803356">
              <w:rPr>
                <w:webHidden/>
              </w:rPr>
              <w:fldChar w:fldCharType="begin"/>
            </w:r>
            <w:r w:rsidR="00803356">
              <w:rPr>
                <w:webHidden/>
              </w:rPr>
              <w:instrText xml:space="preserve"> PAGEREF _Toc170824017 \h </w:instrText>
            </w:r>
            <w:r w:rsidR="00803356">
              <w:rPr>
                <w:webHidden/>
              </w:rPr>
            </w:r>
            <w:r w:rsidR="00803356">
              <w:rPr>
                <w:webHidden/>
              </w:rPr>
              <w:fldChar w:fldCharType="separate"/>
            </w:r>
            <w:r w:rsidR="00803356">
              <w:rPr>
                <w:webHidden/>
              </w:rPr>
              <w:t>4</w:t>
            </w:r>
            <w:r w:rsidR="00803356">
              <w:rPr>
                <w:webHidden/>
              </w:rPr>
              <w:fldChar w:fldCharType="end"/>
            </w:r>
          </w:hyperlink>
        </w:p>
        <w:p w14:paraId="3CD905EF" w14:textId="1D4D0365" w:rsidR="00803356" w:rsidRDefault="009B6FBB">
          <w:pPr>
            <w:pStyle w:val="Indholdsfortegnelse1"/>
            <w:rPr>
              <w:rFonts w:asciiTheme="minorHAnsi" w:eastAsiaTheme="minorEastAsia" w:hAnsiTheme="minorHAnsi" w:cstheme="minorBidi"/>
              <w:bCs w:val="0"/>
              <w:caps w:val="0"/>
              <w:kern w:val="2"/>
              <w:sz w:val="22"/>
              <w:szCs w:val="22"/>
              <w:lang w:eastAsia="da-DK"/>
              <w14:ligatures w14:val="standardContextual"/>
            </w:rPr>
          </w:pPr>
          <w:hyperlink w:anchor="_Toc170824018" w:history="1">
            <w:r w:rsidR="00803356" w:rsidRPr="002B3655">
              <w:rPr>
                <w:rStyle w:val="Hyperlink"/>
              </w:rPr>
              <w:t>2.</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Sammenfatning og konklusion</w:t>
            </w:r>
            <w:r w:rsidR="00803356">
              <w:rPr>
                <w:webHidden/>
              </w:rPr>
              <w:tab/>
            </w:r>
            <w:r w:rsidR="00803356">
              <w:rPr>
                <w:webHidden/>
              </w:rPr>
              <w:fldChar w:fldCharType="begin"/>
            </w:r>
            <w:r w:rsidR="00803356">
              <w:rPr>
                <w:webHidden/>
              </w:rPr>
              <w:instrText xml:space="preserve"> PAGEREF _Toc170824018 \h </w:instrText>
            </w:r>
            <w:r w:rsidR="00803356">
              <w:rPr>
                <w:webHidden/>
              </w:rPr>
            </w:r>
            <w:r w:rsidR="00803356">
              <w:rPr>
                <w:webHidden/>
              </w:rPr>
              <w:fldChar w:fldCharType="separate"/>
            </w:r>
            <w:r w:rsidR="00803356">
              <w:rPr>
                <w:webHidden/>
              </w:rPr>
              <w:t>5</w:t>
            </w:r>
            <w:r w:rsidR="00803356">
              <w:rPr>
                <w:webHidden/>
              </w:rPr>
              <w:fldChar w:fldCharType="end"/>
            </w:r>
          </w:hyperlink>
        </w:p>
        <w:p w14:paraId="6CC57152" w14:textId="02BB82A4"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19" w:history="1">
            <w:r w:rsidR="00803356" w:rsidRPr="002B3655">
              <w:rPr>
                <w:rStyle w:val="Hyperlink"/>
                <w:noProof/>
                <w:lang w:eastAsia="da-DK"/>
              </w:rPr>
              <w:t>2.1</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lang w:eastAsia="da-DK"/>
              </w:rPr>
              <w:t>For så vidt angår Microsoft Irelands behandling og opbevaring af personoplysninger i EU som led i EU Data Boundary</w:t>
            </w:r>
            <w:r w:rsidR="00803356">
              <w:rPr>
                <w:noProof/>
                <w:webHidden/>
              </w:rPr>
              <w:tab/>
            </w:r>
            <w:r w:rsidR="00803356">
              <w:rPr>
                <w:noProof/>
                <w:webHidden/>
              </w:rPr>
              <w:fldChar w:fldCharType="begin"/>
            </w:r>
            <w:r w:rsidR="00803356">
              <w:rPr>
                <w:noProof/>
                <w:webHidden/>
              </w:rPr>
              <w:instrText xml:space="preserve"> PAGEREF _Toc170824019 \h </w:instrText>
            </w:r>
            <w:r w:rsidR="00803356">
              <w:rPr>
                <w:noProof/>
                <w:webHidden/>
              </w:rPr>
            </w:r>
            <w:r w:rsidR="00803356">
              <w:rPr>
                <w:noProof/>
                <w:webHidden/>
              </w:rPr>
              <w:fldChar w:fldCharType="separate"/>
            </w:r>
            <w:r w:rsidR="00803356">
              <w:rPr>
                <w:noProof/>
                <w:webHidden/>
              </w:rPr>
              <w:t>5</w:t>
            </w:r>
            <w:r w:rsidR="00803356">
              <w:rPr>
                <w:noProof/>
                <w:webHidden/>
              </w:rPr>
              <w:fldChar w:fldCharType="end"/>
            </w:r>
          </w:hyperlink>
        </w:p>
        <w:p w14:paraId="6D994C46" w14:textId="619830D1"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20" w:history="1">
            <w:r w:rsidR="00803356" w:rsidRPr="002B3655">
              <w:rPr>
                <w:rStyle w:val="Hyperlink"/>
                <w:noProof/>
                <w:lang w:eastAsia="da-DK"/>
              </w:rPr>
              <w:t>2.2</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lang w:eastAsia="da-DK"/>
              </w:rPr>
              <w:t>For så vidt angår tilsigtede overførsler af personoplysninger til tredjelande (undtagelser til EU Data Boundary)</w:t>
            </w:r>
            <w:r w:rsidR="00803356">
              <w:rPr>
                <w:noProof/>
                <w:webHidden/>
              </w:rPr>
              <w:tab/>
            </w:r>
            <w:r w:rsidR="00803356">
              <w:rPr>
                <w:noProof/>
                <w:webHidden/>
              </w:rPr>
              <w:fldChar w:fldCharType="begin"/>
            </w:r>
            <w:r w:rsidR="00803356">
              <w:rPr>
                <w:noProof/>
                <w:webHidden/>
              </w:rPr>
              <w:instrText xml:space="preserve"> PAGEREF _Toc170824020 \h </w:instrText>
            </w:r>
            <w:r w:rsidR="00803356">
              <w:rPr>
                <w:noProof/>
                <w:webHidden/>
              </w:rPr>
            </w:r>
            <w:r w:rsidR="00803356">
              <w:rPr>
                <w:noProof/>
                <w:webHidden/>
              </w:rPr>
              <w:fldChar w:fldCharType="separate"/>
            </w:r>
            <w:r w:rsidR="00803356">
              <w:rPr>
                <w:noProof/>
                <w:webHidden/>
              </w:rPr>
              <w:t>6</w:t>
            </w:r>
            <w:r w:rsidR="00803356">
              <w:rPr>
                <w:noProof/>
                <w:webHidden/>
              </w:rPr>
              <w:fldChar w:fldCharType="end"/>
            </w:r>
          </w:hyperlink>
        </w:p>
        <w:p w14:paraId="2D101271" w14:textId="7F1A62B7"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21" w:history="1">
            <w:r w:rsidR="00803356" w:rsidRPr="002B3655">
              <w:rPr>
                <w:rStyle w:val="Hyperlink"/>
                <w:noProof/>
              </w:rPr>
              <w:t>2.3</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Samlet konklusion</w:t>
            </w:r>
            <w:r w:rsidR="00803356">
              <w:rPr>
                <w:noProof/>
                <w:webHidden/>
              </w:rPr>
              <w:tab/>
            </w:r>
            <w:r w:rsidR="00803356">
              <w:rPr>
                <w:noProof/>
                <w:webHidden/>
              </w:rPr>
              <w:fldChar w:fldCharType="begin"/>
            </w:r>
            <w:r w:rsidR="00803356">
              <w:rPr>
                <w:noProof/>
                <w:webHidden/>
              </w:rPr>
              <w:instrText xml:space="preserve"> PAGEREF _Toc170824021 \h </w:instrText>
            </w:r>
            <w:r w:rsidR="00803356">
              <w:rPr>
                <w:noProof/>
                <w:webHidden/>
              </w:rPr>
            </w:r>
            <w:r w:rsidR="00803356">
              <w:rPr>
                <w:noProof/>
                <w:webHidden/>
              </w:rPr>
              <w:fldChar w:fldCharType="separate"/>
            </w:r>
            <w:r w:rsidR="00803356">
              <w:rPr>
                <w:noProof/>
                <w:webHidden/>
              </w:rPr>
              <w:t>7</w:t>
            </w:r>
            <w:r w:rsidR="00803356">
              <w:rPr>
                <w:noProof/>
                <w:webHidden/>
              </w:rPr>
              <w:fldChar w:fldCharType="end"/>
            </w:r>
          </w:hyperlink>
        </w:p>
        <w:p w14:paraId="5CA03A03" w14:textId="74B2EADA" w:rsidR="00803356" w:rsidRDefault="009B6FBB">
          <w:pPr>
            <w:pStyle w:val="Indholdsfortegnelse1"/>
            <w:rPr>
              <w:rFonts w:asciiTheme="minorHAnsi" w:eastAsiaTheme="minorEastAsia" w:hAnsiTheme="minorHAnsi" w:cstheme="minorBidi"/>
              <w:bCs w:val="0"/>
              <w:caps w:val="0"/>
              <w:kern w:val="2"/>
              <w:sz w:val="22"/>
              <w:szCs w:val="22"/>
              <w:lang w:eastAsia="da-DK"/>
              <w14:ligatures w14:val="standardContextual"/>
            </w:rPr>
          </w:pPr>
          <w:hyperlink w:anchor="_Toc170824022" w:history="1">
            <w:r w:rsidR="00803356" w:rsidRPr="002B3655">
              <w:rPr>
                <w:rStyle w:val="Hyperlink"/>
              </w:rPr>
              <w:t>3.</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Trin 1: Identificer og beskriv overførslerne</w:t>
            </w:r>
            <w:r w:rsidR="00803356">
              <w:rPr>
                <w:webHidden/>
              </w:rPr>
              <w:tab/>
            </w:r>
            <w:r w:rsidR="00803356">
              <w:rPr>
                <w:webHidden/>
              </w:rPr>
              <w:fldChar w:fldCharType="begin"/>
            </w:r>
            <w:r w:rsidR="00803356">
              <w:rPr>
                <w:webHidden/>
              </w:rPr>
              <w:instrText xml:space="preserve"> PAGEREF _Toc170824022 \h </w:instrText>
            </w:r>
            <w:r w:rsidR="00803356">
              <w:rPr>
                <w:webHidden/>
              </w:rPr>
            </w:r>
            <w:r w:rsidR="00803356">
              <w:rPr>
                <w:webHidden/>
              </w:rPr>
              <w:fldChar w:fldCharType="separate"/>
            </w:r>
            <w:r w:rsidR="00803356">
              <w:rPr>
                <w:webHidden/>
              </w:rPr>
              <w:t>7</w:t>
            </w:r>
            <w:r w:rsidR="00803356">
              <w:rPr>
                <w:webHidden/>
              </w:rPr>
              <w:fldChar w:fldCharType="end"/>
            </w:r>
          </w:hyperlink>
        </w:p>
        <w:p w14:paraId="09DE7171" w14:textId="458A9563"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23" w:history="1">
            <w:r w:rsidR="00803356" w:rsidRPr="002B3655">
              <w:rPr>
                <w:rStyle w:val="Hyperlink"/>
                <w:noProof/>
              </w:rPr>
              <w:t>3.1</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Udgangspunktet om behandling og opbevaring af personoplysninger i EU i medfør af EU Data Boundary og undtagelserne hertil, hvor der sker overførsler til tredjelande</w:t>
            </w:r>
            <w:r w:rsidR="00803356">
              <w:rPr>
                <w:noProof/>
                <w:webHidden/>
              </w:rPr>
              <w:tab/>
            </w:r>
            <w:r w:rsidR="00803356">
              <w:rPr>
                <w:noProof/>
                <w:webHidden/>
              </w:rPr>
              <w:fldChar w:fldCharType="begin"/>
            </w:r>
            <w:r w:rsidR="00803356">
              <w:rPr>
                <w:noProof/>
                <w:webHidden/>
              </w:rPr>
              <w:instrText xml:space="preserve"> PAGEREF _Toc170824023 \h </w:instrText>
            </w:r>
            <w:r w:rsidR="00803356">
              <w:rPr>
                <w:noProof/>
                <w:webHidden/>
              </w:rPr>
            </w:r>
            <w:r w:rsidR="00803356">
              <w:rPr>
                <w:noProof/>
                <w:webHidden/>
              </w:rPr>
              <w:fldChar w:fldCharType="separate"/>
            </w:r>
            <w:r w:rsidR="00803356">
              <w:rPr>
                <w:noProof/>
                <w:webHidden/>
              </w:rPr>
              <w:t>7</w:t>
            </w:r>
            <w:r w:rsidR="00803356">
              <w:rPr>
                <w:noProof/>
                <w:webHidden/>
              </w:rPr>
              <w:fldChar w:fldCharType="end"/>
            </w:r>
          </w:hyperlink>
        </w:p>
        <w:p w14:paraId="35B2A231" w14:textId="4087D368"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24" w:history="1">
            <w:r w:rsidR="00803356" w:rsidRPr="002B3655">
              <w:rPr>
                <w:rStyle w:val="Hyperlink"/>
              </w:rPr>
              <w:t>3.1.1</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Tilsigtede overførsler til underdatabehandlere uden for EU/EØS, hvor der sker overladelse til underdatabehandlere i tredjelande i forbindelse med levering af applikationer og cloudtjenester (undtagelser til EU Data Boundary)</w:t>
            </w:r>
            <w:r w:rsidR="00803356">
              <w:rPr>
                <w:webHidden/>
              </w:rPr>
              <w:tab/>
            </w:r>
            <w:r w:rsidR="00803356">
              <w:rPr>
                <w:webHidden/>
              </w:rPr>
              <w:fldChar w:fldCharType="begin"/>
            </w:r>
            <w:r w:rsidR="00803356">
              <w:rPr>
                <w:webHidden/>
              </w:rPr>
              <w:instrText xml:space="preserve"> PAGEREF _Toc170824024 \h </w:instrText>
            </w:r>
            <w:r w:rsidR="00803356">
              <w:rPr>
                <w:webHidden/>
              </w:rPr>
            </w:r>
            <w:r w:rsidR="00803356">
              <w:rPr>
                <w:webHidden/>
              </w:rPr>
              <w:fldChar w:fldCharType="separate"/>
            </w:r>
            <w:r w:rsidR="00803356">
              <w:rPr>
                <w:webHidden/>
              </w:rPr>
              <w:t>11</w:t>
            </w:r>
            <w:r w:rsidR="00803356">
              <w:rPr>
                <w:webHidden/>
              </w:rPr>
              <w:fldChar w:fldCharType="end"/>
            </w:r>
          </w:hyperlink>
        </w:p>
        <w:p w14:paraId="2104F6BD" w14:textId="41343F91"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25" w:history="1">
            <w:r w:rsidR="00803356" w:rsidRPr="002B3655">
              <w:rPr>
                <w:rStyle w:val="Hyperlink"/>
              </w:rPr>
              <w:t>3.1.2</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Overførsler til tredjelande i forbindelse med udleveringsanmodninger i henhold til tredjelands ret for personoplysninger, der behandles og opbevares i EU i henhold til EU Data Boundary</w:t>
            </w:r>
            <w:r w:rsidR="00803356">
              <w:rPr>
                <w:webHidden/>
              </w:rPr>
              <w:tab/>
            </w:r>
            <w:r w:rsidR="00803356">
              <w:rPr>
                <w:webHidden/>
              </w:rPr>
              <w:fldChar w:fldCharType="begin"/>
            </w:r>
            <w:r w:rsidR="00803356">
              <w:rPr>
                <w:webHidden/>
              </w:rPr>
              <w:instrText xml:space="preserve"> PAGEREF _Toc170824025 \h </w:instrText>
            </w:r>
            <w:r w:rsidR="00803356">
              <w:rPr>
                <w:webHidden/>
              </w:rPr>
            </w:r>
            <w:r w:rsidR="00803356">
              <w:rPr>
                <w:webHidden/>
              </w:rPr>
              <w:fldChar w:fldCharType="separate"/>
            </w:r>
            <w:r w:rsidR="00803356">
              <w:rPr>
                <w:webHidden/>
              </w:rPr>
              <w:t>21</w:t>
            </w:r>
            <w:r w:rsidR="00803356">
              <w:rPr>
                <w:webHidden/>
              </w:rPr>
              <w:fldChar w:fldCharType="end"/>
            </w:r>
          </w:hyperlink>
        </w:p>
        <w:p w14:paraId="567A6855" w14:textId="41F10AC2"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26" w:history="1">
            <w:r w:rsidR="00803356" w:rsidRPr="002B3655">
              <w:rPr>
                <w:rStyle w:val="Hyperlink"/>
              </w:rPr>
              <w:t>3.1.3</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Særligt om videregivelse til Microsofts egne formål</w:t>
            </w:r>
            <w:r w:rsidR="00803356">
              <w:rPr>
                <w:webHidden/>
              </w:rPr>
              <w:tab/>
            </w:r>
            <w:r w:rsidR="00803356">
              <w:rPr>
                <w:webHidden/>
              </w:rPr>
              <w:fldChar w:fldCharType="begin"/>
            </w:r>
            <w:r w:rsidR="00803356">
              <w:rPr>
                <w:webHidden/>
              </w:rPr>
              <w:instrText xml:space="preserve"> PAGEREF _Toc170824026 \h </w:instrText>
            </w:r>
            <w:r w:rsidR="00803356">
              <w:rPr>
                <w:webHidden/>
              </w:rPr>
            </w:r>
            <w:r w:rsidR="00803356">
              <w:rPr>
                <w:webHidden/>
              </w:rPr>
              <w:fldChar w:fldCharType="separate"/>
            </w:r>
            <w:r w:rsidR="00803356">
              <w:rPr>
                <w:webHidden/>
              </w:rPr>
              <w:t>34</w:t>
            </w:r>
            <w:r w:rsidR="00803356">
              <w:rPr>
                <w:webHidden/>
              </w:rPr>
              <w:fldChar w:fldCharType="end"/>
            </w:r>
          </w:hyperlink>
        </w:p>
        <w:p w14:paraId="31015D25" w14:textId="1D248AAD"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27" w:history="1">
            <w:r w:rsidR="00803356" w:rsidRPr="002B3655">
              <w:rPr>
                <w:rStyle w:val="Hyperlink"/>
                <w:noProof/>
              </w:rPr>
              <w:t>3.2</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Hvilke kategorier af personoplysninger vedrører overførslerne, og hvad er omfanget heraf?</w:t>
            </w:r>
            <w:r w:rsidR="00803356">
              <w:rPr>
                <w:noProof/>
                <w:webHidden/>
              </w:rPr>
              <w:tab/>
            </w:r>
            <w:r w:rsidR="00803356">
              <w:rPr>
                <w:noProof/>
                <w:webHidden/>
              </w:rPr>
              <w:fldChar w:fldCharType="begin"/>
            </w:r>
            <w:r w:rsidR="00803356">
              <w:rPr>
                <w:noProof/>
                <w:webHidden/>
              </w:rPr>
              <w:instrText xml:space="preserve"> PAGEREF _Toc170824027 \h </w:instrText>
            </w:r>
            <w:r w:rsidR="00803356">
              <w:rPr>
                <w:noProof/>
                <w:webHidden/>
              </w:rPr>
            </w:r>
            <w:r w:rsidR="00803356">
              <w:rPr>
                <w:noProof/>
                <w:webHidden/>
              </w:rPr>
              <w:fldChar w:fldCharType="separate"/>
            </w:r>
            <w:r w:rsidR="00803356">
              <w:rPr>
                <w:noProof/>
                <w:webHidden/>
              </w:rPr>
              <w:t>37</w:t>
            </w:r>
            <w:r w:rsidR="00803356">
              <w:rPr>
                <w:noProof/>
                <w:webHidden/>
              </w:rPr>
              <w:fldChar w:fldCharType="end"/>
            </w:r>
          </w:hyperlink>
        </w:p>
        <w:p w14:paraId="1C5F2D3C" w14:textId="5B0A5205"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28" w:history="1">
            <w:r w:rsidR="00803356" w:rsidRPr="002B3655">
              <w:rPr>
                <w:rStyle w:val="Hyperlink"/>
              </w:rPr>
              <w:t>3.2.1</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Indledning</w:t>
            </w:r>
            <w:r w:rsidR="00803356">
              <w:rPr>
                <w:webHidden/>
              </w:rPr>
              <w:tab/>
            </w:r>
            <w:r w:rsidR="00803356">
              <w:rPr>
                <w:webHidden/>
              </w:rPr>
              <w:fldChar w:fldCharType="begin"/>
            </w:r>
            <w:r w:rsidR="00803356">
              <w:rPr>
                <w:webHidden/>
              </w:rPr>
              <w:instrText xml:space="preserve"> PAGEREF _Toc170824028 \h </w:instrText>
            </w:r>
            <w:r w:rsidR="00803356">
              <w:rPr>
                <w:webHidden/>
              </w:rPr>
            </w:r>
            <w:r w:rsidR="00803356">
              <w:rPr>
                <w:webHidden/>
              </w:rPr>
              <w:fldChar w:fldCharType="separate"/>
            </w:r>
            <w:r w:rsidR="00803356">
              <w:rPr>
                <w:webHidden/>
              </w:rPr>
              <w:t>37</w:t>
            </w:r>
            <w:r w:rsidR="00803356">
              <w:rPr>
                <w:webHidden/>
              </w:rPr>
              <w:fldChar w:fldCharType="end"/>
            </w:r>
          </w:hyperlink>
        </w:p>
        <w:p w14:paraId="0A5713A4" w14:textId="0C99BD98"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29" w:history="1">
            <w:r w:rsidR="00803356" w:rsidRPr="002B3655">
              <w:rPr>
                <w:rStyle w:val="Hyperlink"/>
              </w:rPr>
              <w:t>3.2.2</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Tilsigtede overførsler til underdatabehandlere uden for EU/EØS, hvor der sker overladelse til underdatabehandlere i tredjelande i forbindelse med levering af applikationer og cloudtjenester (undtagelser til EU Data Boundary)</w:t>
            </w:r>
            <w:r w:rsidR="00803356">
              <w:rPr>
                <w:webHidden/>
              </w:rPr>
              <w:tab/>
            </w:r>
            <w:r w:rsidR="00803356">
              <w:rPr>
                <w:webHidden/>
              </w:rPr>
              <w:fldChar w:fldCharType="begin"/>
            </w:r>
            <w:r w:rsidR="00803356">
              <w:rPr>
                <w:webHidden/>
              </w:rPr>
              <w:instrText xml:space="preserve"> PAGEREF _Toc170824029 \h </w:instrText>
            </w:r>
            <w:r w:rsidR="00803356">
              <w:rPr>
                <w:webHidden/>
              </w:rPr>
            </w:r>
            <w:r w:rsidR="00803356">
              <w:rPr>
                <w:webHidden/>
              </w:rPr>
              <w:fldChar w:fldCharType="separate"/>
            </w:r>
            <w:r w:rsidR="00803356">
              <w:rPr>
                <w:webHidden/>
              </w:rPr>
              <w:t>39</w:t>
            </w:r>
            <w:r w:rsidR="00803356">
              <w:rPr>
                <w:webHidden/>
              </w:rPr>
              <w:fldChar w:fldCharType="end"/>
            </w:r>
          </w:hyperlink>
        </w:p>
        <w:p w14:paraId="499940EF" w14:textId="7AD51991"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30" w:history="1">
            <w:r w:rsidR="00803356" w:rsidRPr="002B3655">
              <w:rPr>
                <w:rStyle w:val="Hyperlink"/>
                <w:noProof/>
              </w:rPr>
              <w:t>3.3</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Hvad er formålet med overførslerne af personoplysningerne?</w:t>
            </w:r>
            <w:r w:rsidR="00803356">
              <w:rPr>
                <w:noProof/>
                <w:webHidden/>
              </w:rPr>
              <w:tab/>
            </w:r>
            <w:r w:rsidR="00803356">
              <w:rPr>
                <w:noProof/>
                <w:webHidden/>
              </w:rPr>
              <w:fldChar w:fldCharType="begin"/>
            </w:r>
            <w:r w:rsidR="00803356">
              <w:rPr>
                <w:noProof/>
                <w:webHidden/>
              </w:rPr>
              <w:instrText xml:space="preserve"> PAGEREF _Toc170824030 \h </w:instrText>
            </w:r>
            <w:r w:rsidR="00803356">
              <w:rPr>
                <w:noProof/>
                <w:webHidden/>
              </w:rPr>
            </w:r>
            <w:r w:rsidR="00803356">
              <w:rPr>
                <w:noProof/>
                <w:webHidden/>
              </w:rPr>
              <w:fldChar w:fldCharType="separate"/>
            </w:r>
            <w:r w:rsidR="00803356">
              <w:rPr>
                <w:noProof/>
                <w:webHidden/>
              </w:rPr>
              <w:t>46</w:t>
            </w:r>
            <w:r w:rsidR="00803356">
              <w:rPr>
                <w:noProof/>
                <w:webHidden/>
              </w:rPr>
              <w:fldChar w:fldCharType="end"/>
            </w:r>
          </w:hyperlink>
        </w:p>
        <w:p w14:paraId="175D002C" w14:textId="68B73E50"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31" w:history="1">
            <w:r w:rsidR="00803356" w:rsidRPr="002B3655">
              <w:rPr>
                <w:rStyle w:val="Hyperlink"/>
              </w:rPr>
              <w:t>3.3.1</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Tilsigtede overførsler til underdatabehandlere uden for EU/EØS, hvor der sker overladelse til underdatabehandlere i tredjelande i forbindelse med levering af applikationer og cloudtjenester (undtagelser til EU Data Boundary)</w:t>
            </w:r>
            <w:r w:rsidR="00803356">
              <w:rPr>
                <w:webHidden/>
              </w:rPr>
              <w:tab/>
            </w:r>
            <w:r w:rsidR="00803356">
              <w:rPr>
                <w:webHidden/>
              </w:rPr>
              <w:fldChar w:fldCharType="begin"/>
            </w:r>
            <w:r w:rsidR="00803356">
              <w:rPr>
                <w:webHidden/>
              </w:rPr>
              <w:instrText xml:space="preserve"> PAGEREF _Toc170824031 \h </w:instrText>
            </w:r>
            <w:r w:rsidR="00803356">
              <w:rPr>
                <w:webHidden/>
              </w:rPr>
            </w:r>
            <w:r w:rsidR="00803356">
              <w:rPr>
                <w:webHidden/>
              </w:rPr>
              <w:fldChar w:fldCharType="separate"/>
            </w:r>
            <w:r w:rsidR="00803356">
              <w:rPr>
                <w:webHidden/>
              </w:rPr>
              <w:t>46</w:t>
            </w:r>
            <w:r w:rsidR="00803356">
              <w:rPr>
                <w:webHidden/>
              </w:rPr>
              <w:fldChar w:fldCharType="end"/>
            </w:r>
          </w:hyperlink>
        </w:p>
        <w:p w14:paraId="65DC4850" w14:textId="729DA078"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32" w:history="1">
            <w:r w:rsidR="00803356" w:rsidRPr="002B3655">
              <w:rPr>
                <w:rStyle w:val="Hyperlink"/>
                <w:noProof/>
              </w:rPr>
              <w:t>3.4</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Er overførslerne af personoplysninger begrænset til det, der er nødvendigt for behandlingen?</w:t>
            </w:r>
            <w:r w:rsidR="00803356">
              <w:rPr>
                <w:noProof/>
                <w:webHidden/>
              </w:rPr>
              <w:tab/>
            </w:r>
            <w:r w:rsidR="00803356">
              <w:rPr>
                <w:noProof/>
                <w:webHidden/>
              </w:rPr>
              <w:fldChar w:fldCharType="begin"/>
            </w:r>
            <w:r w:rsidR="00803356">
              <w:rPr>
                <w:noProof/>
                <w:webHidden/>
              </w:rPr>
              <w:instrText xml:space="preserve"> PAGEREF _Toc170824032 \h </w:instrText>
            </w:r>
            <w:r w:rsidR="00803356">
              <w:rPr>
                <w:noProof/>
                <w:webHidden/>
              </w:rPr>
            </w:r>
            <w:r w:rsidR="00803356">
              <w:rPr>
                <w:noProof/>
                <w:webHidden/>
              </w:rPr>
              <w:fldChar w:fldCharType="separate"/>
            </w:r>
            <w:r w:rsidR="00803356">
              <w:rPr>
                <w:noProof/>
                <w:webHidden/>
              </w:rPr>
              <w:t>53</w:t>
            </w:r>
            <w:r w:rsidR="00803356">
              <w:rPr>
                <w:noProof/>
                <w:webHidden/>
              </w:rPr>
              <w:fldChar w:fldCharType="end"/>
            </w:r>
          </w:hyperlink>
        </w:p>
        <w:p w14:paraId="4ECF04F8" w14:textId="775F02D2"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33" w:history="1">
            <w:r w:rsidR="00803356" w:rsidRPr="002B3655">
              <w:rPr>
                <w:rStyle w:val="Hyperlink"/>
              </w:rPr>
              <w:t>3.4.1</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Tilsigtede overførsler til underdatabehandlere uden for EU/EØS, hvor der sker overladelse til underdatabehandlere i tredjelande i forbindelse med levering af applikationer og cloudtjenester (undtagelser til EU Data Boundary)</w:t>
            </w:r>
            <w:r w:rsidR="00803356">
              <w:rPr>
                <w:webHidden/>
              </w:rPr>
              <w:tab/>
            </w:r>
            <w:r w:rsidR="00803356">
              <w:rPr>
                <w:webHidden/>
              </w:rPr>
              <w:fldChar w:fldCharType="begin"/>
            </w:r>
            <w:r w:rsidR="00803356">
              <w:rPr>
                <w:webHidden/>
              </w:rPr>
              <w:instrText xml:space="preserve"> PAGEREF _Toc170824033 \h </w:instrText>
            </w:r>
            <w:r w:rsidR="00803356">
              <w:rPr>
                <w:webHidden/>
              </w:rPr>
            </w:r>
            <w:r w:rsidR="00803356">
              <w:rPr>
                <w:webHidden/>
              </w:rPr>
              <w:fldChar w:fldCharType="separate"/>
            </w:r>
            <w:r w:rsidR="00803356">
              <w:rPr>
                <w:webHidden/>
              </w:rPr>
              <w:t>53</w:t>
            </w:r>
            <w:r w:rsidR="00803356">
              <w:rPr>
                <w:webHidden/>
              </w:rPr>
              <w:fldChar w:fldCharType="end"/>
            </w:r>
          </w:hyperlink>
        </w:p>
        <w:p w14:paraId="76FE8B1D" w14:textId="57CC35E6"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34" w:history="1">
            <w:r w:rsidR="00803356" w:rsidRPr="002B3655">
              <w:rPr>
                <w:rStyle w:val="Hyperlink"/>
                <w:noProof/>
              </w:rPr>
              <w:t>3.5</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Hvad er varigheden af overførslerne?</w:t>
            </w:r>
            <w:r w:rsidR="00803356">
              <w:rPr>
                <w:noProof/>
                <w:webHidden/>
              </w:rPr>
              <w:tab/>
            </w:r>
            <w:r w:rsidR="00803356">
              <w:rPr>
                <w:noProof/>
                <w:webHidden/>
              </w:rPr>
              <w:fldChar w:fldCharType="begin"/>
            </w:r>
            <w:r w:rsidR="00803356">
              <w:rPr>
                <w:noProof/>
                <w:webHidden/>
              </w:rPr>
              <w:instrText xml:space="preserve"> PAGEREF _Toc170824034 \h </w:instrText>
            </w:r>
            <w:r w:rsidR="00803356">
              <w:rPr>
                <w:noProof/>
                <w:webHidden/>
              </w:rPr>
            </w:r>
            <w:r w:rsidR="00803356">
              <w:rPr>
                <w:noProof/>
                <w:webHidden/>
              </w:rPr>
              <w:fldChar w:fldCharType="separate"/>
            </w:r>
            <w:r w:rsidR="00803356">
              <w:rPr>
                <w:noProof/>
                <w:webHidden/>
              </w:rPr>
              <w:t>61</w:t>
            </w:r>
            <w:r w:rsidR="00803356">
              <w:rPr>
                <w:noProof/>
                <w:webHidden/>
              </w:rPr>
              <w:fldChar w:fldCharType="end"/>
            </w:r>
          </w:hyperlink>
        </w:p>
        <w:p w14:paraId="1E2BBC64" w14:textId="1E85013C" w:rsidR="00803356" w:rsidRDefault="009B6FBB">
          <w:pPr>
            <w:pStyle w:val="Indholdsfortegnelse1"/>
            <w:rPr>
              <w:rFonts w:asciiTheme="minorHAnsi" w:eastAsiaTheme="minorEastAsia" w:hAnsiTheme="minorHAnsi" w:cstheme="minorBidi"/>
              <w:bCs w:val="0"/>
              <w:caps w:val="0"/>
              <w:kern w:val="2"/>
              <w:sz w:val="22"/>
              <w:szCs w:val="22"/>
              <w:lang w:eastAsia="da-DK"/>
              <w14:ligatures w14:val="standardContextual"/>
            </w:rPr>
          </w:pPr>
          <w:hyperlink w:anchor="_Toc170824035" w:history="1">
            <w:r w:rsidR="00803356" w:rsidRPr="002B3655">
              <w:rPr>
                <w:rStyle w:val="Hyperlink"/>
              </w:rPr>
              <w:t>4.</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Trin 2: Fastlæg overførselsgrundlaget</w:t>
            </w:r>
            <w:r w:rsidR="00803356">
              <w:rPr>
                <w:webHidden/>
              </w:rPr>
              <w:tab/>
            </w:r>
            <w:r w:rsidR="00803356">
              <w:rPr>
                <w:webHidden/>
              </w:rPr>
              <w:fldChar w:fldCharType="begin"/>
            </w:r>
            <w:r w:rsidR="00803356">
              <w:rPr>
                <w:webHidden/>
              </w:rPr>
              <w:instrText xml:space="preserve"> PAGEREF _Toc170824035 \h </w:instrText>
            </w:r>
            <w:r w:rsidR="00803356">
              <w:rPr>
                <w:webHidden/>
              </w:rPr>
            </w:r>
            <w:r w:rsidR="00803356">
              <w:rPr>
                <w:webHidden/>
              </w:rPr>
              <w:fldChar w:fldCharType="separate"/>
            </w:r>
            <w:r w:rsidR="00803356">
              <w:rPr>
                <w:webHidden/>
              </w:rPr>
              <w:t>63</w:t>
            </w:r>
            <w:r w:rsidR="00803356">
              <w:rPr>
                <w:webHidden/>
              </w:rPr>
              <w:fldChar w:fldCharType="end"/>
            </w:r>
          </w:hyperlink>
        </w:p>
        <w:p w14:paraId="0EE70EB0" w14:textId="41D79D31" w:rsidR="00803356" w:rsidRDefault="009B6FBB">
          <w:pPr>
            <w:pStyle w:val="Indholdsfortegnelse1"/>
            <w:rPr>
              <w:rFonts w:asciiTheme="minorHAnsi" w:eastAsiaTheme="minorEastAsia" w:hAnsiTheme="minorHAnsi" w:cstheme="minorBidi"/>
              <w:bCs w:val="0"/>
              <w:caps w:val="0"/>
              <w:kern w:val="2"/>
              <w:sz w:val="22"/>
              <w:szCs w:val="22"/>
              <w:lang w:eastAsia="da-DK"/>
              <w14:ligatures w14:val="standardContextual"/>
            </w:rPr>
          </w:pPr>
          <w:hyperlink w:anchor="_Toc170824036" w:history="1">
            <w:r w:rsidR="00803356" w:rsidRPr="002B3655">
              <w:rPr>
                <w:rStyle w:val="Hyperlink"/>
              </w:rPr>
              <w:t>5.</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trin 3: Vurdér, om det valgte overførselsværktøj i artikel 46 er effektivt i lyset af omstændighederne vedrørende overførslerne</w:t>
            </w:r>
            <w:r w:rsidR="00803356">
              <w:rPr>
                <w:webHidden/>
              </w:rPr>
              <w:tab/>
            </w:r>
            <w:r w:rsidR="00803356">
              <w:rPr>
                <w:webHidden/>
              </w:rPr>
              <w:fldChar w:fldCharType="begin"/>
            </w:r>
            <w:r w:rsidR="00803356">
              <w:rPr>
                <w:webHidden/>
              </w:rPr>
              <w:instrText xml:space="preserve"> PAGEREF _Toc170824036 \h </w:instrText>
            </w:r>
            <w:r w:rsidR="00803356">
              <w:rPr>
                <w:webHidden/>
              </w:rPr>
            </w:r>
            <w:r w:rsidR="00803356">
              <w:rPr>
                <w:webHidden/>
              </w:rPr>
              <w:fldChar w:fldCharType="separate"/>
            </w:r>
            <w:r w:rsidR="00803356">
              <w:rPr>
                <w:webHidden/>
              </w:rPr>
              <w:t>63</w:t>
            </w:r>
            <w:r w:rsidR="00803356">
              <w:rPr>
                <w:webHidden/>
              </w:rPr>
              <w:fldChar w:fldCharType="end"/>
            </w:r>
          </w:hyperlink>
        </w:p>
        <w:p w14:paraId="512B3EEB" w14:textId="61AEC8BF"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37" w:history="1">
            <w:r w:rsidR="00803356" w:rsidRPr="002B3655">
              <w:rPr>
                <w:rStyle w:val="Hyperlink"/>
                <w:noProof/>
                <w:lang w:eastAsia="da-DK"/>
              </w:rPr>
              <w:t>5.1</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lang w:eastAsia="da-DK"/>
              </w:rPr>
              <w:t>Indledning</w:t>
            </w:r>
            <w:r w:rsidR="00803356">
              <w:rPr>
                <w:noProof/>
                <w:webHidden/>
              </w:rPr>
              <w:tab/>
            </w:r>
            <w:r w:rsidR="00803356">
              <w:rPr>
                <w:noProof/>
                <w:webHidden/>
              </w:rPr>
              <w:fldChar w:fldCharType="begin"/>
            </w:r>
            <w:r w:rsidR="00803356">
              <w:rPr>
                <w:noProof/>
                <w:webHidden/>
              </w:rPr>
              <w:instrText xml:space="preserve"> PAGEREF _Toc170824037 \h </w:instrText>
            </w:r>
            <w:r w:rsidR="00803356">
              <w:rPr>
                <w:noProof/>
                <w:webHidden/>
              </w:rPr>
            </w:r>
            <w:r w:rsidR="00803356">
              <w:rPr>
                <w:noProof/>
                <w:webHidden/>
              </w:rPr>
              <w:fldChar w:fldCharType="separate"/>
            </w:r>
            <w:r w:rsidR="00803356">
              <w:rPr>
                <w:noProof/>
                <w:webHidden/>
              </w:rPr>
              <w:t>63</w:t>
            </w:r>
            <w:r w:rsidR="00803356">
              <w:rPr>
                <w:noProof/>
                <w:webHidden/>
              </w:rPr>
              <w:fldChar w:fldCharType="end"/>
            </w:r>
          </w:hyperlink>
        </w:p>
        <w:p w14:paraId="03199411" w14:textId="71A1B1E9"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38" w:history="1">
            <w:r w:rsidR="00803356" w:rsidRPr="002B3655">
              <w:rPr>
                <w:rStyle w:val="Hyperlink"/>
                <w:noProof/>
                <w:lang w:eastAsia="da-DK"/>
              </w:rPr>
              <w:t>5.2</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lang w:eastAsia="da-DK"/>
              </w:rPr>
              <w:t>Overførsler til sikre tredjelande</w:t>
            </w:r>
            <w:r w:rsidR="00803356">
              <w:rPr>
                <w:noProof/>
                <w:webHidden/>
              </w:rPr>
              <w:tab/>
            </w:r>
            <w:r w:rsidR="00803356">
              <w:rPr>
                <w:noProof/>
                <w:webHidden/>
              </w:rPr>
              <w:fldChar w:fldCharType="begin"/>
            </w:r>
            <w:r w:rsidR="00803356">
              <w:rPr>
                <w:noProof/>
                <w:webHidden/>
              </w:rPr>
              <w:instrText xml:space="preserve"> PAGEREF _Toc170824038 \h </w:instrText>
            </w:r>
            <w:r w:rsidR="00803356">
              <w:rPr>
                <w:noProof/>
                <w:webHidden/>
              </w:rPr>
            </w:r>
            <w:r w:rsidR="00803356">
              <w:rPr>
                <w:noProof/>
                <w:webHidden/>
              </w:rPr>
              <w:fldChar w:fldCharType="separate"/>
            </w:r>
            <w:r w:rsidR="00803356">
              <w:rPr>
                <w:noProof/>
                <w:webHidden/>
              </w:rPr>
              <w:t>64</w:t>
            </w:r>
            <w:r w:rsidR="00803356">
              <w:rPr>
                <w:noProof/>
                <w:webHidden/>
              </w:rPr>
              <w:fldChar w:fldCharType="end"/>
            </w:r>
          </w:hyperlink>
        </w:p>
        <w:p w14:paraId="075209B9" w14:textId="188DACB5"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39" w:history="1">
            <w:r w:rsidR="00803356" w:rsidRPr="002B3655">
              <w:rPr>
                <w:rStyle w:val="Hyperlink"/>
                <w:noProof/>
              </w:rPr>
              <w:t>5.3</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Overførsler til USA</w:t>
            </w:r>
            <w:r w:rsidR="00803356">
              <w:rPr>
                <w:noProof/>
                <w:webHidden/>
              </w:rPr>
              <w:tab/>
            </w:r>
            <w:r w:rsidR="00803356">
              <w:rPr>
                <w:noProof/>
                <w:webHidden/>
              </w:rPr>
              <w:fldChar w:fldCharType="begin"/>
            </w:r>
            <w:r w:rsidR="00803356">
              <w:rPr>
                <w:noProof/>
                <w:webHidden/>
              </w:rPr>
              <w:instrText xml:space="preserve"> PAGEREF _Toc170824039 \h </w:instrText>
            </w:r>
            <w:r w:rsidR="00803356">
              <w:rPr>
                <w:noProof/>
                <w:webHidden/>
              </w:rPr>
            </w:r>
            <w:r w:rsidR="00803356">
              <w:rPr>
                <w:noProof/>
                <w:webHidden/>
              </w:rPr>
              <w:fldChar w:fldCharType="separate"/>
            </w:r>
            <w:r w:rsidR="00803356">
              <w:rPr>
                <w:noProof/>
                <w:webHidden/>
              </w:rPr>
              <w:t>64</w:t>
            </w:r>
            <w:r w:rsidR="00803356">
              <w:rPr>
                <w:noProof/>
                <w:webHidden/>
              </w:rPr>
              <w:fldChar w:fldCharType="end"/>
            </w:r>
          </w:hyperlink>
        </w:p>
        <w:p w14:paraId="714BC4DD" w14:textId="4947536E"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40" w:history="1">
            <w:r w:rsidR="00803356" w:rsidRPr="002B3655">
              <w:rPr>
                <w:rStyle w:val="Hyperlink"/>
                <w:noProof/>
              </w:rPr>
              <w:t>5.4</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Overførsler til øvrige usikre tredjelande end USA – risikobaseret tilgang</w:t>
            </w:r>
            <w:r w:rsidR="00803356">
              <w:rPr>
                <w:noProof/>
                <w:webHidden/>
              </w:rPr>
              <w:tab/>
            </w:r>
            <w:r w:rsidR="00803356">
              <w:rPr>
                <w:noProof/>
                <w:webHidden/>
              </w:rPr>
              <w:fldChar w:fldCharType="begin"/>
            </w:r>
            <w:r w:rsidR="00803356">
              <w:rPr>
                <w:noProof/>
                <w:webHidden/>
              </w:rPr>
              <w:instrText xml:space="preserve"> PAGEREF _Toc170824040 \h </w:instrText>
            </w:r>
            <w:r w:rsidR="00803356">
              <w:rPr>
                <w:noProof/>
                <w:webHidden/>
              </w:rPr>
            </w:r>
            <w:r w:rsidR="00803356">
              <w:rPr>
                <w:noProof/>
                <w:webHidden/>
              </w:rPr>
              <w:fldChar w:fldCharType="separate"/>
            </w:r>
            <w:r w:rsidR="00803356">
              <w:rPr>
                <w:noProof/>
                <w:webHidden/>
              </w:rPr>
              <w:t>65</w:t>
            </w:r>
            <w:r w:rsidR="00803356">
              <w:rPr>
                <w:noProof/>
                <w:webHidden/>
              </w:rPr>
              <w:fldChar w:fldCharType="end"/>
            </w:r>
          </w:hyperlink>
        </w:p>
        <w:p w14:paraId="02CC4E23" w14:textId="33A178E3"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41" w:history="1">
            <w:r w:rsidR="00803356" w:rsidRPr="002B3655">
              <w:rPr>
                <w:rStyle w:val="Hyperlink"/>
                <w:lang w:eastAsia="da-DK"/>
              </w:rPr>
              <w:t>5.4.1</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lang w:eastAsia="da-DK"/>
              </w:rPr>
              <w:t>Databeskyttelsesforordningen</w:t>
            </w:r>
            <w:r w:rsidR="00803356">
              <w:rPr>
                <w:webHidden/>
              </w:rPr>
              <w:tab/>
            </w:r>
            <w:r w:rsidR="00803356">
              <w:rPr>
                <w:webHidden/>
              </w:rPr>
              <w:fldChar w:fldCharType="begin"/>
            </w:r>
            <w:r w:rsidR="00803356">
              <w:rPr>
                <w:webHidden/>
              </w:rPr>
              <w:instrText xml:space="preserve"> PAGEREF _Toc170824041 \h </w:instrText>
            </w:r>
            <w:r w:rsidR="00803356">
              <w:rPr>
                <w:webHidden/>
              </w:rPr>
            </w:r>
            <w:r w:rsidR="00803356">
              <w:rPr>
                <w:webHidden/>
              </w:rPr>
              <w:fldChar w:fldCharType="separate"/>
            </w:r>
            <w:r w:rsidR="00803356">
              <w:rPr>
                <w:webHidden/>
              </w:rPr>
              <w:t>66</w:t>
            </w:r>
            <w:r w:rsidR="00803356">
              <w:rPr>
                <w:webHidden/>
              </w:rPr>
              <w:fldChar w:fldCharType="end"/>
            </w:r>
          </w:hyperlink>
        </w:p>
        <w:p w14:paraId="72DE42A5" w14:textId="0ABF474E"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42" w:history="1">
            <w:r w:rsidR="00803356" w:rsidRPr="002B3655">
              <w:rPr>
                <w:rStyle w:val="Hyperlink"/>
                <w:lang w:eastAsia="da-DK"/>
              </w:rPr>
              <w:t>5.4.2</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lang w:eastAsia="da-DK"/>
              </w:rPr>
              <w:t>Schrems II-dommen</w:t>
            </w:r>
            <w:r w:rsidR="00803356">
              <w:rPr>
                <w:webHidden/>
              </w:rPr>
              <w:tab/>
            </w:r>
            <w:r w:rsidR="00803356">
              <w:rPr>
                <w:webHidden/>
              </w:rPr>
              <w:fldChar w:fldCharType="begin"/>
            </w:r>
            <w:r w:rsidR="00803356">
              <w:rPr>
                <w:webHidden/>
              </w:rPr>
              <w:instrText xml:space="preserve"> PAGEREF _Toc170824042 \h </w:instrText>
            </w:r>
            <w:r w:rsidR="00803356">
              <w:rPr>
                <w:webHidden/>
              </w:rPr>
            </w:r>
            <w:r w:rsidR="00803356">
              <w:rPr>
                <w:webHidden/>
              </w:rPr>
              <w:fldChar w:fldCharType="separate"/>
            </w:r>
            <w:r w:rsidR="00803356">
              <w:rPr>
                <w:webHidden/>
              </w:rPr>
              <w:t>67</w:t>
            </w:r>
            <w:r w:rsidR="00803356">
              <w:rPr>
                <w:webHidden/>
              </w:rPr>
              <w:fldChar w:fldCharType="end"/>
            </w:r>
          </w:hyperlink>
        </w:p>
        <w:p w14:paraId="53AF9B0B" w14:textId="2CBBCF13"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43" w:history="1">
            <w:r w:rsidR="00803356" w:rsidRPr="002B3655">
              <w:rPr>
                <w:rStyle w:val="Hyperlink"/>
                <w:lang w:eastAsia="da-DK"/>
              </w:rPr>
              <w:t>5.4.3</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lang w:eastAsia="da-DK"/>
              </w:rPr>
              <w:t>EU-Kommissionens afgørelse om nye standardkontraktbestemmelser for overførsel af personoplysninger til tredjelande</w:t>
            </w:r>
            <w:r w:rsidR="00803356">
              <w:rPr>
                <w:webHidden/>
              </w:rPr>
              <w:tab/>
            </w:r>
            <w:r w:rsidR="00803356">
              <w:rPr>
                <w:webHidden/>
              </w:rPr>
              <w:fldChar w:fldCharType="begin"/>
            </w:r>
            <w:r w:rsidR="00803356">
              <w:rPr>
                <w:webHidden/>
              </w:rPr>
              <w:instrText xml:space="preserve"> PAGEREF _Toc170824043 \h </w:instrText>
            </w:r>
            <w:r w:rsidR="00803356">
              <w:rPr>
                <w:webHidden/>
              </w:rPr>
            </w:r>
            <w:r w:rsidR="00803356">
              <w:rPr>
                <w:webHidden/>
              </w:rPr>
              <w:fldChar w:fldCharType="separate"/>
            </w:r>
            <w:r w:rsidR="00803356">
              <w:rPr>
                <w:webHidden/>
              </w:rPr>
              <w:t>71</w:t>
            </w:r>
            <w:r w:rsidR="00803356">
              <w:rPr>
                <w:webHidden/>
              </w:rPr>
              <w:fldChar w:fldCharType="end"/>
            </w:r>
          </w:hyperlink>
        </w:p>
        <w:p w14:paraId="12DBE385" w14:textId="0BD09477"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44" w:history="1">
            <w:r w:rsidR="00803356" w:rsidRPr="002B3655">
              <w:rPr>
                <w:rStyle w:val="Hyperlink"/>
                <w:lang w:eastAsia="da-DK"/>
              </w:rPr>
              <w:t>5.4.4</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lang w:eastAsia="da-DK"/>
              </w:rPr>
              <w:t>EDPB’s anbefalinger om supplerende foranstaltninger samt EDPS’ afgørelse vedrørende EU-Kommissionens brug af Microsoft 365</w:t>
            </w:r>
            <w:r w:rsidR="00803356">
              <w:rPr>
                <w:webHidden/>
              </w:rPr>
              <w:tab/>
            </w:r>
            <w:r w:rsidR="00803356">
              <w:rPr>
                <w:webHidden/>
              </w:rPr>
              <w:fldChar w:fldCharType="begin"/>
            </w:r>
            <w:r w:rsidR="00803356">
              <w:rPr>
                <w:webHidden/>
              </w:rPr>
              <w:instrText xml:space="preserve"> PAGEREF _Toc170824044 \h </w:instrText>
            </w:r>
            <w:r w:rsidR="00803356">
              <w:rPr>
                <w:webHidden/>
              </w:rPr>
            </w:r>
            <w:r w:rsidR="00803356">
              <w:rPr>
                <w:webHidden/>
              </w:rPr>
              <w:fldChar w:fldCharType="separate"/>
            </w:r>
            <w:r w:rsidR="00803356">
              <w:rPr>
                <w:webHidden/>
              </w:rPr>
              <w:t>73</w:t>
            </w:r>
            <w:r w:rsidR="00803356">
              <w:rPr>
                <w:webHidden/>
              </w:rPr>
              <w:fldChar w:fldCharType="end"/>
            </w:r>
          </w:hyperlink>
        </w:p>
        <w:p w14:paraId="18B415B9" w14:textId="7DE091DC"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45" w:history="1">
            <w:r w:rsidR="00803356" w:rsidRPr="002B3655">
              <w:rPr>
                <w:rStyle w:val="Hyperlink"/>
                <w:lang w:eastAsia="da-DK"/>
              </w:rPr>
              <w:t>5.4.5</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lang w:eastAsia="da-DK"/>
              </w:rPr>
              <w:t>Relevant retspraksis og administrativ praksis</w:t>
            </w:r>
            <w:r w:rsidR="00803356">
              <w:rPr>
                <w:webHidden/>
              </w:rPr>
              <w:tab/>
            </w:r>
            <w:r w:rsidR="00803356">
              <w:rPr>
                <w:webHidden/>
              </w:rPr>
              <w:fldChar w:fldCharType="begin"/>
            </w:r>
            <w:r w:rsidR="00803356">
              <w:rPr>
                <w:webHidden/>
              </w:rPr>
              <w:instrText xml:space="preserve"> PAGEREF _Toc170824045 \h </w:instrText>
            </w:r>
            <w:r w:rsidR="00803356">
              <w:rPr>
                <w:webHidden/>
              </w:rPr>
            </w:r>
            <w:r w:rsidR="00803356">
              <w:rPr>
                <w:webHidden/>
              </w:rPr>
              <w:fldChar w:fldCharType="separate"/>
            </w:r>
            <w:r w:rsidR="00803356">
              <w:rPr>
                <w:webHidden/>
              </w:rPr>
              <w:t>75</w:t>
            </w:r>
            <w:r w:rsidR="00803356">
              <w:rPr>
                <w:webHidden/>
              </w:rPr>
              <w:fldChar w:fldCharType="end"/>
            </w:r>
          </w:hyperlink>
        </w:p>
        <w:p w14:paraId="4FB21AB8" w14:textId="1F088756"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46" w:history="1">
            <w:r w:rsidR="00803356" w:rsidRPr="002B3655">
              <w:rPr>
                <w:rStyle w:val="Hyperlink"/>
              </w:rPr>
              <w:t>5.4.6</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Den juridiske litteratur</w:t>
            </w:r>
            <w:r w:rsidR="00803356">
              <w:rPr>
                <w:webHidden/>
              </w:rPr>
              <w:tab/>
            </w:r>
            <w:r w:rsidR="00803356">
              <w:rPr>
                <w:webHidden/>
              </w:rPr>
              <w:fldChar w:fldCharType="begin"/>
            </w:r>
            <w:r w:rsidR="00803356">
              <w:rPr>
                <w:webHidden/>
              </w:rPr>
              <w:instrText xml:space="preserve"> PAGEREF _Toc170824046 \h </w:instrText>
            </w:r>
            <w:r w:rsidR="00803356">
              <w:rPr>
                <w:webHidden/>
              </w:rPr>
            </w:r>
            <w:r w:rsidR="00803356">
              <w:rPr>
                <w:webHidden/>
              </w:rPr>
              <w:fldChar w:fldCharType="separate"/>
            </w:r>
            <w:r w:rsidR="00803356">
              <w:rPr>
                <w:webHidden/>
              </w:rPr>
              <w:t>76</w:t>
            </w:r>
            <w:r w:rsidR="00803356">
              <w:rPr>
                <w:webHidden/>
              </w:rPr>
              <w:fldChar w:fldCharType="end"/>
            </w:r>
          </w:hyperlink>
        </w:p>
        <w:p w14:paraId="7EB7EDBD" w14:textId="7E8EFEEE" w:rsidR="00803356" w:rsidRDefault="009B6FBB">
          <w:pPr>
            <w:pStyle w:val="Indholdsfortegnelse1"/>
            <w:rPr>
              <w:rFonts w:asciiTheme="minorHAnsi" w:eastAsiaTheme="minorEastAsia" w:hAnsiTheme="minorHAnsi" w:cstheme="minorBidi"/>
              <w:bCs w:val="0"/>
              <w:caps w:val="0"/>
              <w:kern w:val="2"/>
              <w:sz w:val="22"/>
              <w:szCs w:val="22"/>
              <w:lang w:eastAsia="da-DK"/>
              <w14:ligatures w14:val="standardContextual"/>
            </w:rPr>
          </w:pPr>
          <w:hyperlink w:anchor="_Toc170824047" w:history="1">
            <w:r w:rsidR="00803356" w:rsidRPr="002B3655">
              <w:rPr>
                <w:rStyle w:val="Hyperlink"/>
              </w:rPr>
              <w:t>6.</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Trin 4: Identificer og fastsæt supplerende foranstaltninger</w:t>
            </w:r>
            <w:r w:rsidR="00803356">
              <w:rPr>
                <w:webHidden/>
              </w:rPr>
              <w:tab/>
            </w:r>
            <w:r w:rsidR="00803356">
              <w:rPr>
                <w:webHidden/>
              </w:rPr>
              <w:fldChar w:fldCharType="begin"/>
            </w:r>
            <w:r w:rsidR="00803356">
              <w:rPr>
                <w:webHidden/>
              </w:rPr>
              <w:instrText xml:space="preserve"> PAGEREF _Toc170824047 \h </w:instrText>
            </w:r>
            <w:r w:rsidR="00803356">
              <w:rPr>
                <w:webHidden/>
              </w:rPr>
            </w:r>
            <w:r w:rsidR="00803356">
              <w:rPr>
                <w:webHidden/>
              </w:rPr>
              <w:fldChar w:fldCharType="separate"/>
            </w:r>
            <w:r w:rsidR="00803356">
              <w:rPr>
                <w:webHidden/>
              </w:rPr>
              <w:t>77</w:t>
            </w:r>
            <w:r w:rsidR="00803356">
              <w:rPr>
                <w:webHidden/>
              </w:rPr>
              <w:fldChar w:fldCharType="end"/>
            </w:r>
          </w:hyperlink>
        </w:p>
        <w:p w14:paraId="71287740" w14:textId="1F8F9206"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48" w:history="1">
            <w:r w:rsidR="00803356" w:rsidRPr="002B3655">
              <w:rPr>
                <w:rStyle w:val="Hyperlink"/>
                <w:noProof/>
              </w:rPr>
              <w:t>6.1</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Tekniske foranstaltninger</w:t>
            </w:r>
            <w:r w:rsidR="00803356">
              <w:rPr>
                <w:noProof/>
                <w:webHidden/>
              </w:rPr>
              <w:tab/>
            </w:r>
            <w:r w:rsidR="00803356">
              <w:rPr>
                <w:noProof/>
                <w:webHidden/>
              </w:rPr>
              <w:fldChar w:fldCharType="begin"/>
            </w:r>
            <w:r w:rsidR="00803356">
              <w:rPr>
                <w:noProof/>
                <w:webHidden/>
              </w:rPr>
              <w:instrText xml:space="preserve"> PAGEREF _Toc170824048 \h </w:instrText>
            </w:r>
            <w:r w:rsidR="00803356">
              <w:rPr>
                <w:noProof/>
                <w:webHidden/>
              </w:rPr>
            </w:r>
            <w:r w:rsidR="00803356">
              <w:rPr>
                <w:noProof/>
                <w:webHidden/>
              </w:rPr>
              <w:fldChar w:fldCharType="separate"/>
            </w:r>
            <w:r w:rsidR="00803356">
              <w:rPr>
                <w:noProof/>
                <w:webHidden/>
              </w:rPr>
              <w:t>77</w:t>
            </w:r>
            <w:r w:rsidR="00803356">
              <w:rPr>
                <w:noProof/>
                <w:webHidden/>
              </w:rPr>
              <w:fldChar w:fldCharType="end"/>
            </w:r>
          </w:hyperlink>
        </w:p>
        <w:p w14:paraId="3873BB60" w14:textId="109BB460"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49" w:history="1">
            <w:r w:rsidR="00803356" w:rsidRPr="002B3655">
              <w:rPr>
                <w:rStyle w:val="Hyperlink"/>
                <w:noProof/>
              </w:rPr>
              <w:t>6.2</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Organisatoriske foranstaltninger</w:t>
            </w:r>
            <w:r w:rsidR="00803356">
              <w:rPr>
                <w:noProof/>
                <w:webHidden/>
              </w:rPr>
              <w:tab/>
            </w:r>
            <w:r w:rsidR="00803356">
              <w:rPr>
                <w:noProof/>
                <w:webHidden/>
              </w:rPr>
              <w:fldChar w:fldCharType="begin"/>
            </w:r>
            <w:r w:rsidR="00803356">
              <w:rPr>
                <w:noProof/>
                <w:webHidden/>
              </w:rPr>
              <w:instrText xml:space="preserve"> PAGEREF _Toc170824049 \h </w:instrText>
            </w:r>
            <w:r w:rsidR="00803356">
              <w:rPr>
                <w:noProof/>
                <w:webHidden/>
              </w:rPr>
            </w:r>
            <w:r w:rsidR="00803356">
              <w:rPr>
                <w:noProof/>
                <w:webHidden/>
              </w:rPr>
              <w:fldChar w:fldCharType="separate"/>
            </w:r>
            <w:r w:rsidR="00803356">
              <w:rPr>
                <w:noProof/>
                <w:webHidden/>
              </w:rPr>
              <w:t>85</w:t>
            </w:r>
            <w:r w:rsidR="00803356">
              <w:rPr>
                <w:noProof/>
                <w:webHidden/>
              </w:rPr>
              <w:fldChar w:fldCharType="end"/>
            </w:r>
          </w:hyperlink>
        </w:p>
        <w:p w14:paraId="4AE825B8" w14:textId="32D8DD77"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50" w:history="1">
            <w:r w:rsidR="00803356" w:rsidRPr="002B3655">
              <w:rPr>
                <w:rStyle w:val="Hyperlink"/>
                <w:noProof/>
              </w:rPr>
              <w:t>6.3</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Kontraktuelle foranstaltninger</w:t>
            </w:r>
            <w:r w:rsidR="00803356">
              <w:rPr>
                <w:noProof/>
                <w:webHidden/>
              </w:rPr>
              <w:tab/>
            </w:r>
            <w:r w:rsidR="00803356">
              <w:rPr>
                <w:noProof/>
                <w:webHidden/>
              </w:rPr>
              <w:fldChar w:fldCharType="begin"/>
            </w:r>
            <w:r w:rsidR="00803356">
              <w:rPr>
                <w:noProof/>
                <w:webHidden/>
              </w:rPr>
              <w:instrText xml:space="preserve"> PAGEREF _Toc170824050 \h </w:instrText>
            </w:r>
            <w:r w:rsidR="00803356">
              <w:rPr>
                <w:noProof/>
                <w:webHidden/>
              </w:rPr>
            </w:r>
            <w:r w:rsidR="00803356">
              <w:rPr>
                <w:noProof/>
                <w:webHidden/>
              </w:rPr>
              <w:fldChar w:fldCharType="separate"/>
            </w:r>
            <w:r w:rsidR="00803356">
              <w:rPr>
                <w:noProof/>
                <w:webHidden/>
              </w:rPr>
              <w:t>86</w:t>
            </w:r>
            <w:r w:rsidR="00803356">
              <w:rPr>
                <w:noProof/>
                <w:webHidden/>
              </w:rPr>
              <w:fldChar w:fldCharType="end"/>
            </w:r>
          </w:hyperlink>
        </w:p>
        <w:p w14:paraId="46FBE780" w14:textId="1D32BD93" w:rsidR="00803356" w:rsidRDefault="009B6FBB">
          <w:pPr>
            <w:pStyle w:val="Indholdsfortegnelse2"/>
            <w:rPr>
              <w:rFonts w:asciiTheme="minorHAnsi" w:eastAsiaTheme="minorEastAsia" w:hAnsiTheme="minorHAnsi" w:cstheme="minorBidi"/>
              <w:noProof/>
              <w:kern w:val="2"/>
              <w:sz w:val="22"/>
              <w:szCs w:val="22"/>
              <w:lang w:eastAsia="da-DK"/>
              <w14:ligatures w14:val="standardContextual"/>
            </w:rPr>
          </w:pPr>
          <w:hyperlink w:anchor="_Toc170824051" w:history="1">
            <w:r w:rsidR="00803356" w:rsidRPr="002B3655">
              <w:rPr>
                <w:rStyle w:val="Hyperlink"/>
                <w:noProof/>
              </w:rPr>
              <w:t>6.4</w:t>
            </w:r>
            <w:r w:rsidR="00803356">
              <w:rPr>
                <w:rFonts w:asciiTheme="minorHAnsi" w:eastAsiaTheme="minorEastAsia" w:hAnsiTheme="minorHAnsi" w:cstheme="minorBidi"/>
                <w:noProof/>
                <w:kern w:val="2"/>
                <w:sz w:val="22"/>
                <w:szCs w:val="22"/>
                <w:lang w:eastAsia="da-DK"/>
                <w14:ligatures w14:val="standardContextual"/>
              </w:rPr>
              <w:tab/>
            </w:r>
            <w:r w:rsidR="00803356" w:rsidRPr="002B3655">
              <w:rPr>
                <w:rStyle w:val="Hyperlink"/>
                <w:noProof/>
              </w:rPr>
              <w:t>Samlet vurdering og konklusion</w:t>
            </w:r>
            <w:r w:rsidR="00803356">
              <w:rPr>
                <w:noProof/>
                <w:webHidden/>
              </w:rPr>
              <w:tab/>
            </w:r>
            <w:r w:rsidR="00803356">
              <w:rPr>
                <w:noProof/>
                <w:webHidden/>
              </w:rPr>
              <w:fldChar w:fldCharType="begin"/>
            </w:r>
            <w:r w:rsidR="00803356">
              <w:rPr>
                <w:noProof/>
                <w:webHidden/>
              </w:rPr>
              <w:instrText xml:space="preserve"> PAGEREF _Toc170824051 \h </w:instrText>
            </w:r>
            <w:r w:rsidR="00803356">
              <w:rPr>
                <w:noProof/>
                <w:webHidden/>
              </w:rPr>
            </w:r>
            <w:r w:rsidR="00803356">
              <w:rPr>
                <w:noProof/>
                <w:webHidden/>
              </w:rPr>
              <w:fldChar w:fldCharType="separate"/>
            </w:r>
            <w:r w:rsidR="00803356">
              <w:rPr>
                <w:noProof/>
                <w:webHidden/>
              </w:rPr>
              <w:t>88</w:t>
            </w:r>
            <w:r w:rsidR="00803356">
              <w:rPr>
                <w:noProof/>
                <w:webHidden/>
              </w:rPr>
              <w:fldChar w:fldCharType="end"/>
            </w:r>
          </w:hyperlink>
        </w:p>
        <w:p w14:paraId="48ECE34E" w14:textId="36BF0533"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52" w:history="1">
            <w:r w:rsidR="00803356" w:rsidRPr="002B3655">
              <w:rPr>
                <w:rStyle w:val="Hyperlink"/>
              </w:rPr>
              <w:t>6.4.1</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rPr>
              <w:t>Indledende betragtninger</w:t>
            </w:r>
            <w:r w:rsidR="00803356">
              <w:rPr>
                <w:webHidden/>
              </w:rPr>
              <w:tab/>
            </w:r>
            <w:r w:rsidR="00803356">
              <w:rPr>
                <w:webHidden/>
              </w:rPr>
              <w:fldChar w:fldCharType="begin"/>
            </w:r>
            <w:r w:rsidR="00803356">
              <w:rPr>
                <w:webHidden/>
              </w:rPr>
              <w:instrText xml:space="preserve"> PAGEREF _Toc170824052 \h </w:instrText>
            </w:r>
            <w:r w:rsidR="00803356">
              <w:rPr>
                <w:webHidden/>
              </w:rPr>
            </w:r>
            <w:r w:rsidR="00803356">
              <w:rPr>
                <w:webHidden/>
              </w:rPr>
              <w:fldChar w:fldCharType="separate"/>
            </w:r>
            <w:r w:rsidR="00803356">
              <w:rPr>
                <w:webHidden/>
              </w:rPr>
              <w:t>88</w:t>
            </w:r>
            <w:r w:rsidR="00803356">
              <w:rPr>
                <w:webHidden/>
              </w:rPr>
              <w:fldChar w:fldCharType="end"/>
            </w:r>
          </w:hyperlink>
        </w:p>
        <w:p w14:paraId="42D8FDF4" w14:textId="027F44E8" w:rsidR="00803356" w:rsidRDefault="009B6FBB">
          <w:pPr>
            <w:pStyle w:val="Indholdsfortegnelse3"/>
            <w:rPr>
              <w:rFonts w:asciiTheme="minorHAnsi" w:eastAsiaTheme="minorEastAsia" w:hAnsiTheme="minorHAnsi" w:cstheme="minorBidi"/>
              <w:bCs w:val="0"/>
              <w:kern w:val="2"/>
              <w:sz w:val="22"/>
              <w:szCs w:val="22"/>
              <w:lang w:eastAsia="da-DK"/>
              <w14:ligatures w14:val="standardContextual"/>
            </w:rPr>
          </w:pPr>
          <w:hyperlink w:anchor="_Toc170824053" w:history="1">
            <w:r w:rsidR="00803356" w:rsidRPr="002B3655">
              <w:rPr>
                <w:rStyle w:val="Hyperlink"/>
                <w:lang w:eastAsia="da-DK"/>
              </w:rPr>
              <w:t>6.4.2</w:t>
            </w:r>
            <w:r w:rsidR="00803356">
              <w:rPr>
                <w:rFonts w:asciiTheme="minorHAnsi" w:eastAsiaTheme="minorEastAsia" w:hAnsiTheme="minorHAnsi" w:cstheme="minorBidi"/>
                <w:bCs w:val="0"/>
                <w:kern w:val="2"/>
                <w:sz w:val="22"/>
                <w:szCs w:val="22"/>
                <w:lang w:eastAsia="da-DK"/>
                <w14:ligatures w14:val="standardContextual"/>
              </w:rPr>
              <w:tab/>
            </w:r>
            <w:r w:rsidR="00803356" w:rsidRPr="002B3655">
              <w:rPr>
                <w:rStyle w:val="Hyperlink"/>
                <w:lang w:eastAsia="da-DK"/>
              </w:rPr>
              <w:t>Vurdering af overførsler af de enkelte datakategorier</w:t>
            </w:r>
            <w:r w:rsidR="00803356">
              <w:rPr>
                <w:webHidden/>
              </w:rPr>
              <w:tab/>
            </w:r>
            <w:r w:rsidR="00803356">
              <w:rPr>
                <w:webHidden/>
              </w:rPr>
              <w:fldChar w:fldCharType="begin"/>
            </w:r>
            <w:r w:rsidR="00803356">
              <w:rPr>
                <w:webHidden/>
              </w:rPr>
              <w:instrText xml:space="preserve"> PAGEREF _Toc170824053 \h </w:instrText>
            </w:r>
            <w:r w:rsidR="00803356">
              <w:rPr>
                <w:webHidden/>
              </w:rPr>
            </w:r>
            <w:r w:rsidR="00803356">
              <w:rPr>
                <w:webHidden/>
              </w:rPr>
              <w:fldChar w:fldCharType="separate"/>
            </w:r>
            <w:r w:rsidR="00803356">
              <w:rPr>
                <w:webHidden/>
              </w:rPr>
              <w:t>90</w:t>
            </w:r>
            <w:r w:rsidR="00803356">
              <w:rPr>
                <w:webHidden/>
              </w:rPr>
              <w:fldChar w:fldCharType="end"/>
            </w:r>
          </w:hyperlink>
        </w:p>
        <w:p w14:paraId="19935295" w14:textId="78467A53" w:rsidR="00803356" w:rsidRDefault="009B6FBB">
          <w:pPr>
            <w:pStyle w:val="Indholdsfortegnelse1"/>
            <w:rPr>
              <w:rFonts w:asciiTheme="minorHAnsi" w:eastAsiaTheme="minorEastAsia" w:hAnsiTheme="minorHAnsi" w:cstheme="minorBidi"/>
              <w:bCs w:val="0"/>
              <w:caps w:val="0"/>
              <w:kern w:val="2"/>
              <w:sz w:val="22"/>
              <w:szCs w:val="22"/>
              <w:lang w:eastAsia="da-DK"/>
              <w14:ligatures w14:val="standardContextual"/>
            </w:rPr>
          </w:pPr>
          <w:hyperlink w:anchor="_Toc170824054" w:history="1">
            <w:r w:rsidR="00803356" w:rsidRPr="002B3655">
              <w:rPr>
                <w:rStyle w:val="Hyperlink"/>
              </w:rPr>
              <w:t>7.</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Trin 5: Implementér overførselsgrundlag og supplerende foranstaltninger</w:t>
            </w:r>
            <w:r w:rsidR="00803356">
              <w:rPr>
                <w:webHidden/>
              </w:rPr>
              <w:tab/>
            </w:r>
            <w:r w:rsidR="00803356">
              <w:rPr>
                <w:webHidden/>
              </w:rPr>
              <w:fldChar w:fldCharType="begin"/>
            </w:r>
            <w:r w:rsidR="00803356">
              <w:rPr>
                <w:webHidden/>
              </w:rPr>
              <w:instrText xml:space="preserve"> PAGEREF _Toc170824054 \h </w:instrText>
            </w:r>
            <w:r w:rsidR="00803356">
              <w:rPr>
                <w:webHidden/>
              </w:rPr>
            </w:r>
            <w:r w:rsidR="00803356">
              <w:rPr>
                <w:webHidden/>
              </w:rPr>
              <w:fldChar w:fldCharType="separate"/>
            </w:r>
            <w:r w:rsidR="00803356">
              <w:rPr>
                <w:webHidden/>
              </w:rPr>
              <w:t>99</w:t>
            </w:r>
            <w:r w:rsidR="00803356">
              <w:rPr>
                <w:webHidden/>
              </w:rPr>
              <w:fldChar w:fldCharType="end"/>
            </w:r>
          </w:hyperlink>
        </w:p>
        <w:p w14:paraId="43D3E8E8" w14:textId="70A48900" w:rsidR="00803356" w:rsidRDefault="009B6FBB">
          <w:pPr>
            <w:pStyle w:val="Indholdsfortegnelse1"/>
            <w:rPr>
              <w:rFonts w:asciiTheme="minorHAnsi" w:eastAsiaTheme="minorEastAsia" w:hAnsiTheme="minorHAnsi" w:cstheme="minorBidi"/>
              <w:bCs w:val="0"/>
              <w:caps w:val="0"/>
              <w:kern w:val="2"/>
              <w:sz w:val="22"/>
              <w:szCs w:val="22"/>
              <w:lang w:eastAsia="da-DK"/>
              <w14:ligatures w14:val="standardContextual"/>
            </w:rPr>
          </w:pPr>
          <w:hyperlink w:anchor="_Toc170824055" w:history="1">
            <w:r w:rsidR="00803356" w:rsidRPr="002B3655">
              <w:rPr>
                <w:rStyle w:val="Hyperlink"/>
              </w:rPr>
              <w:t>8.</w:t>
            </w:r>
            <w:r w:rsidR="00803356">
              <w:rPr>
                <w:rFonts w:asciiTheme="minorHAnsi" w:eastAsiaTheme="minorEastAsia" w:hAnsiTheme="minorHAnsi" w:cstheme="minorBidi"/>
                <w:bCs w:val="0"/>
                <w:caps w:val="0"/>
                <w:kern w:val="2"/>
                <w:sz w:val="22"/>
                <w:szCs w:val="22"/>
                <w:lang w:eastAsia="da-DK"/>
                <w14:ligatures w14:val="standardContextual"/>
              </w:rPr>
              <w:tab/>
            </w:r>
            <w:r w:rsidR="00803356" w:rsidRPr="002B3655">
              <w:rPr>
                <w:rStyle w:val="Hyperlink"/>
              </w:rPr>
              <w:t>Trin 6: Foretag Løbende evaluering og tilsyn</w:t>
            </w:r>
            <w:r w:rsidR="00803356">
              <w:rPr>
                <w:webHidden/>
              </w:rPr>
              <w:tab/>
            </w:r>
            <w:r w:rsidR="00803356">
              <w:rPr>
                <w:webHidden/>
              </w:rPr>
              <w:fldChar w:fldCharType="begin"/>
            </w:r>
            <w:r w:rsidR="00803356">
              <w:rPr>
                <w:webHidden/>
              </w:rPr>
              <w:instrText xml:space="preserve"> PAGEREF _Toc170824055 \h </w:instrText>
            </w:r>
            <w:r w:rsidR="00803356">
              <w:rPr>
                <w:webHidden/>
              </w:rPr>
            </w:r>
            <w:r w:rsidR="00803356">
              <w:rPr>
                <w:webHidden/>
              </w:rPr>
              <w:fldChar w:fldCharType="separate"/>
            </w:r>
            <w:r w:rsidR="00803356">
              <w:rPr>
                <w:webHidden/>
              </w:rPr>
              <w:t>100</w:t>
            </w:r>
            <w:r w:rsidR="00803356">
              <w:rPr>
                <w:webHidden/>
              </w:rPr>
              <w:fldChar w:fldCharType="end"/>
            </w:r>
          </w:hyperlink>
        </w:p>
        <w:p w14:paraId="344F5D6E" w14:textId="339AF0C3" w:rsidR="0036440D" w:rsidRPr="00DC4F35" w:rsidRDefault="0036440D" w:rsidP="0036440D">
          <w:pPr>
            <w:pStyle w:val="Indholdsfortegnelse1"/>
          </w:pPr>
          <w:r w:rsidRPr="00DC4F35">
            <w:fldChar w:fldCharType="end"/>
          </w:r>
        </w:p>
      </w:sdtContent>
    </w:sdt>
    <w:p w14:paraId="58935C5F" w14:textId="77777777" w:rsidR="0036440D" w:rsidRPr="00DC4F35" w:rsidRDefault="0036440D" w:rsidP="0036440D"/>
    <w:p w14:paraId="284B9E3A" w14:textId="77777777" w:rsidR="0036440D" w:rsidRPr="00DC4F35" w:rsidRDefault="0036440D" w:rsidP="0036440D">
      <w:r w:rsidRPr="00DC4F35">
        <w:br w:type="page"/>
      </w:r>
    </w:p>
    <w:p w14:paraId="7801D841" w14:textId="26C6099D" w:rsidR="0036440D" w:rsidRPr="00DC4F35" w:rsidRDefault="0036440D" w:rsidP="0036440D">
      <w:pPr>
        <w:pStyle w:val="Overskrift1"/>
      </w:pPr>
      <w:bookmarkStart w:id="3" w:name="_Toc66959786"/>
      <w:bookmarkStart w:id="4" w:name="_Toc170824017"/>
      <w:r w:rsidRPr="00DC4F35">
        <w:lastRenderedPageBreak/>
        <w:t>Formålet med og opbygningen af denne transfer impact assessment</w:t>
      </w:r>
      <w:bookmarkEnd w:id="3"/>
      <w:bookmarkEnd w:id="4"/>
    </w:p>
    <w:p w14:paraId="79D236DD" w14:textId="10179DAF" w:rsidR="0036440D" w:rsidRPr="00DC4F35" w:rsidRDefault="0036440D" w:rsidP="0036440D">
      <w:pPr>
        <w:rPr>
          <w:lang w:eastAsia="da-DK"/>
        </w:rPr>
      </w:pPr>
      <w:r w:rsidRPr="00DC4F35">
        <w:rPr>
          <w:szCs w:val="23"/>
        </w:rPr>
        <w:t xml:space="preserve">Formålet med denne Transfer </w:t>
      </w:r>
      <w:proofErr w:type="spellStart"/>
      <w:r w:rsidRPr="00DC4F35">
        <w:rPr>
          <w:szCs w:val="23"/>
        </w:rPr>
        <w:t>Impact</w:t>
      </w:r>
      <w:proofErr w:type="spellEnd"/>
      <w:r w:rsidRPr="00DC4F35">
        <w:rPr>
          <w:szCs w:val="23"/>
        </w:rPr>
        <w:t xml:space="preserve"> </w:t>
      </w:r>
      <w:proofErr w:type="spellStart"/>
      <w:r w:rsidRPr="00DC4F35">
        <w:rPr>
          <w:szCs w:val="23"/>
        </w:rPr>
        <w:t>Assessment</w:t>
      </w:r>
      <w:proofErr w:type="spellEnd"/>
      <w:r w:rsidRPr="00DC4F35">
        <w:rPr>
          <w:szCs w:val="23"/>
        </w:rPr>
        <w:t xml:space="preserve"> (herefter forkortet ”TIA”) er at vurdere og dokumentere lovligheden af </w:t>
      </w:r>
      <w:r w:rsidRPr="00DC4F35">
        <w:rPr>
          <w:lang w:eastAsia="da-DK"/>
        </w:rPr>
        <w:t>overførsler af personoplysninger til tredjelande</w:t>
      </w:r>
      <w:r w:rsidR="00167EE8" w:rsidRPr="00DC4F35">
        <w:rPr>
          <w:lang w:eastAsia="da-DK"/>
        </w:rPr>
        <w:t xml:space="preserve"> ved brug af udvalgte applikationer og cloudtjenester i Microsoft 365 samt supportydelser i forbindelse hermed</w:t>
      </w:r>
      <w:r w:rsidRPr="00DC4F35">
        <w:rPr>
          <w:lang w:eastAsia="da-DK"/>
        </w:rPr>
        <w:t>. Overførslerne skal ske i overensstemmelse med reglerne herom i databeskyttelsesforordningen</w:t>
      </w:r>
      <w:r w:rsidR="007C4176" w:rsidRPr="00DC4F35">
        <w:rPr>
          <w:lang w:eastAsia="da-DK"/>
        </w:rPr>
        <w:t>, herunder</w:t>
      </w:r>
      <w:r w:rsidRPr="00DC4F35">
        <w:rPr>
          <w:lang w:eastAsia="da-DK"/>
        </w:rPr>
        <w:t xml:space="preserve"> EU-Domstolens dom i den såkaldte </w:t>
      </w:r>
      <w:proofErr w:type="spellStart"/>
      <w:r w:rsidRPr="00DC4F35">
        <w:rPr>
          <w:lang w:eastAsia="da-DK"/>
        </w:rPr>
        <w:t>Schrems</w:t>
      </w:r>
      <w:proofErr w:type="spellEnd"/>
      <w:r w:rsidRPr="00DC4F35">
        <w:rPr>
          <w:lang w:eastAsia="da-DK"/>
        </w:rPr>
        <w:t xml:space="preserve"> II-sag.</w:t>
      </w:r>
    </w:p>
    <w:p w14:paraId="108FA2DD" w14:textId="77777777" w:rsidR="0036440D" w:rsidRPr="00DC4F35" w:rsidRDefault="0036440D" w:rsidP="0036440D">
      <w:pPr>
        <w:rPr>
          <w:lang w:eastAsia="da-DK"/>
        </w:rPr>
      </w:pPr>
    </w:p>
    <w:p w14:paraId="61D4AF01" w14:textId="08BFAABC" w:rsidR="00C81599" w:rsidRPr="00DC4F35" w:rsidRDefault="0080213C" w:rsidP="007E2199">
      <w:pPr>
        <w:rPr>
          <w:lang w:eastAsia="da-DK"/>
        </w:rPr>
      </w:pPr>
      <w:r w:rsidRPr="00DC4F35">
        <w:t>Statens I</w:t>
      </w:r>
      <w:r w:rsidR="00D2251E" w:rsidRPr="00DC4F35">
        <w:t>t</w:t>
      </w:r>
      <w:r w:rsidRPr="00DC4F35">
        <w:t xml:space="preserve"> og Økonomistyrelsen </w:t>
      </w:r>
      <w:r w:rsidR="0036440D" w:rsidRPr="00DC4F35">
        <w:rPr>
          <w:lang w:eastAsia="da-DK"/>
        </w:rPr>
        <w:t>har udarbejdet denne TIA</w:t>
      </w:r>
      <w:r w:rsidR="00A9417F" w:rsidRPr="00DC4F35">
        <w:rPr>
          <w:lang w:eastAsia="da-DK"/>
        </w:rPr>
        <w:t xml:space="preserve">. </w:t>
      </w:r>
      <w:r w:rsidR="00C81599" w:rsidRPr="00DC4F35">
        <w:rPr>
          <w:lang w:eastAsia="da-DK"/>
        </w:rPr>
        <w:t>Formålet</w:t>
      </w:r>
      <w:r w:rsidR="00A9417F" w:rsidRPr="00DC4F35">
        <w:rPr>
          <w:lang w:eastAsia="da-DK"/>
        </w:rPr>
        <w:t xml:space="preserve"> er, at </w:t>
      </w:r>
      <w:r w:rsidR="000D2281" w:rsidRPr="00DC4F35">
        <w:rPr>
          <w:lang w:eastAsia="da-DK"/>
        </w:rPr>
        <w:t xml:space="preserve">Statens </w:t>
      </w:r>
      <w:proofErr w:type="spellStart"/>
      <w:r w:rsidR="000D2281" w:rsidRPr="00DC4F35">
        <w:rPr>
          <w:lang w:eastAsia="da-DK"/>
        </w:rPr>
        <w:t>It’s</w:t>
      </w:r>
      <w:proofErr w:type="spellEnd"/>
      <w:r w:rsidR="00A9417F" w:rsidRPr="00DC4F35">
        <w:rPr>
          <w:lang w:eastAsia="da-DK"/>
        </w:rPr>
        <w:t xml:space="preserve"> </w:t>
      </w:r>
      <w:r w:rsidRPr="00DC4F35">
        <w:rPr>
          <w:lang w:eastAsia="da-DK"/>
        </w:rPr>
        <w:t>kunder</w:t>
      </w:r>
      <w:r w:rsidR="00C81599" w:rsidRPr="00DC4F35">
        <w:rPr>
          <w:lang w:eastAsia="da-DK"/>
        </w:rPr>
        <w:t xml:space="preserve"> – der hver især er dataansvarlig</w:t>
      </w:r>
      <w:r w:rsidR="00B86430" w:rsidRPr="00DC4F35">
        <w:rPr>
          <w:lang w:eastAsia="da-DK"/>
        </w:rPr>
        <w:t>e</w:t>
      </w:r>
      <w:r w:rsidR="00C81599" w:rsidRPr="00DC4F35">
        <w:rPr>
          <w:lang w:eastAsia="da-DK"/>
        </w:rPr>
        <w:t xml:space="preserve"> for behandlingen af personoplysninger ved brugen af Microsoft 365</w:t>
      </w:r>
      <w:r w:rsidR="00B339C0" w:rsidRPr="00DC4F35">
        <w:rPr>
          <w:lang w:eastAsia="da-DK"/>
        </w:rPr>
        <w:t xml:space="preserve"> (herefter ”De Dataansvarlige”)</w:t>
      </w:r>
      <w:r w:rsidR="00C81599" w:rsidRPr="00DC4F35">
        <w:rPr>
          <w:lang w:eastAsia="da-DK"/>
        </w:rPr>
        <w:t xml:space="preserve"> –</w:t>
      </w:r>
      <w:r w:rsidRPr="00DC4F35">
        <w:rPr>
          <w:lang w:eastAsia="da-DK"/>
        </w:rPr>
        <w:t xml:space="preserve"> </w:t>
      </w:r>
      <w:r w:rsidR="00C81599" w:rsidRPr="00DC4F35">
        <w:rPr>
          <w:lang w:eastAsia="da-DK"/>
        </w:rPr>
        <w:t xml:space="preserve">kan tage udgangspunkt i denne TIA, når </w:t>
      </w:r>
      <w:r w:rsidR="000D2281" w:rsidRPr="00DC4F35">
        <w:rPr>
          <w:lang w:eastAsia="da-DK"/>
        </w:rPr>
        <w:t xml:space="preserve">De Dataansvarlige </w:t>
      </w:r>
      <w:r w:rsidR="00C81599" w:rsidRPr="00DC4F35">
        <w:rPr>
          <w:lang w:eastAsia="da-DK"/>
        </w:rPr>
        <w:t>skal vurdere lovligheden af overførsler af personoplysninger til tredjelande, som brugen af Microsoft 365 indebærer.</w:t>
      </w:r>
    </w:p>
    <w:p w14:paraId="4ACCD142" w14:textId="77777777" w:rsidR="00C81599" w:rsidRPr="00DC4F35" w:rsidRDefault="00C81599" w:rsidP="007E2199">
      <w:pPr>
        <w:rPr>
          <w:lang w:eastAsia="da-DK"/>
        </w:rPr>
      </w:pPr>
    </w:p>
    <w:p w14:paraId="73EC8A08" w14:textId="30CA1A96" w:rsidR="00DB4BD7" w:rsidRPr="00DC4F35" w:rsidRDefault="00DB4BD7" w:rsidP="00D64C48">
      <w:pPr>
        <w:rPr>
          <w:iCs/>
        </w:rPr>
      </w:pPr>
      <w:r w:rsidRPr="00DC4F35">
        <w:rPr>
          <w:iCs/>
        </w:rPr>
        <w:t xml:space="preserve">Ved De Dataansvarliges </w:t>
      </w:r>
      <w:r w:rsidR="00C81599" w:rsidRPr="00DC4F35">
        <w:rPr>
          <w:iCs/>
        </w:rPr>
        <w:t xml:space="preserve">brug af Microsoft 365 vil behandlingen af personoplysninger, herunder opbevaringen af personoplysningerne, som det klare udgangspunkt ske </w:t>
      </w:r>
      <w:r w:rsidR="00D64C48" w:rsidRPr="00DC4F35">
        <w:rPr>
          <w:iCs/>
        </w:rPr>
        <w:t>inden</w:t>
      </w:r>
      <w:r w:rsidR="00B86430" w:rsidRPr="00DC4F35">
        <w:rPr>
          <w:iCs/>
        </w:rPr>
        <w:t xml:space="preserve"> </w:t>
      </w:r>
      <w:r w:rsidR="00D64C48" w:rsidRPr="00DC4F35">
        <w:rPr>
          <w:iCs/>
        </w:rPr>
        <w:t>for EU som led i Microsoft</w:t>
      </w:r>
      <w:r w:rsidR="00E37CA5" w:rsidRPr="00DC4F35">
        <w:rPr>
          <w:iCs/>
        </w:rPr>
        <w:t xml:space="preserve"> Irelands</w:t>
      </w:r>
      <w:r w:rsidR="00D64C48" w:rsidRPr="00DC4F35">
        <w:rPr>
          <w:iCs/>
        </w:rPr>
        <w:t xml:space="preserve"> såkaldte ”EU Data </w:t>
      </w:r>
      <w:proofErr w:type="spellStart"/>
      <w:r w:rsidR="00D64C48" w:rsidRPr="00DC4F35">
        <w:rPr>
          <w:iCs/>
        </w:rPr>
        <w:t>Boundary</w:t>
      </w:r>
      <w:proofErr w:type="spellEnd"/>
      <w:r w:rsidR="00D64C48" w:rsidRPr="00DC4F35">
        <w:rPr>
          <w:iCs/>
        </w:rPr>
        <w:t xml:space="preserve">”. Der vil dog </w:t>
      </w:r>
      <w:r w:rsidRPr="00DC4F35">
        <w:rPr>
          <w:iCs/>
        </w:rPr>
        <w:t xml:space="preserve">i visse tilfælde gælde undtagelser hertil, hvor personoplysninger, herunder </w:t>
      </w:r>
      <w:proofErr w:type="spellStart"/>
      <w:r w:rsidRPr="00DC4F35">
        <w:rPr>
          <w:iCs/>
        </w:rPr>
        <w:t>pseudonymiserede</w:t>
      </w:r>
      <w:proofErr w:type="spellEnd"/>
      <w:r w:rsidRPr="00DC4F35">
        <w:rPr>
          <w:iCs/>
        </w:rPr>
        <w:t>, ikke-følsomme, følsomme, fortrolige og oplysninger om strafbare forhold</w:t>
      </w:r>
      <w:r w:rsidR="00B86430" w:rsidRPr="00DC4F35">
        <w:rPr>
          <w:iCs/>
        </w:rPr>
        <w:t>,</w:t>
      </w:r>
      <w:r w:rsidRPr="00DC4F35">
        <w:rPr>
          <w:iCs/>
        </w:rPr>
        <w:t xml:space="preserve"> vil blive overført til modtagere i tredjelande. En overførsel kan både ske </w:t>
      </w:r>
      <w:r w:rsidR="00630FE0" w:rsidRPr="00DC4F35">
        <w:rPr>
          <w:iCs/>
        </w:rPr>
        <w:t>via fjernadgang</w:t>
      </w:r>
      <w:r w:rsidRPr="00DC4F35">
        <w:rPr>
          <w:iCs/>
        </w:rPr>
        <w:t xml:space="preserve"> </w:t>
      </w:r>
      <w:r w:rsidR="000D2281" w:rsidRPr="00DC4F35">
        <w:rPr>
          <w:iCs/>
        </w:rPr>
        <w:t xml:space="preserve">(”se adgang”) </w:t>
      </w:r>
      <w:r w:rsidRPr="00DC4F35">
        <w:rPr>
          <w:iCs/>
        </w:rPr>
        <w:t xml:space="preserve">og som en fysisk overførsel. </w:t>
      </w:r>
    </w:p>
    <w:p w14:paraId="3CFB3608" w14:textId="77777777" w:rsidR="008003E0" w:rsidRPr="00DC4F35" w:rsidRDefault="008003E0" w:rsidP="007E2199">
      <w:pPr>
        <w:rPr>
          <w:iCs/>
        </w:rPr>
      </w:pPr>
    </w:p>
    <w:p w14:paraId="27F06A02" w14:textId="067CBCB8" w:rsidR="008003E0" w:rsidRPr="00DC4F35" w:rsidRDefault="008003E0" w:rsidP="007E2199">
      <w:proofErr w:type="spellStart"/>
      <w:r w:rsidRPr="00DC4F35">
        <w:t>TIA’en</w:t>
      </w:r>
      <w:proofErr w:type="spellEnd"/>
      <w:r w:rsidRPr="00DC4F35">
        <w:t xml:space="preserve"> er udarbejdet som led i </w:t>
      </w:r>
      <w:r w:rsidR="00D64C48" w:rsidRPr="00DC4F35">
        <w:t xml:space="preserve">gennemførelsen af en </w:t>
      </w:r>
      <w:r w:rsidRPr="00DC4F35">
        <w:t xml:space="preserve">konsekvensanalyse </w:t>
      </w:r>
      <w:r w:rsidR="00D64C48" w:rsidRPr="00DC4F35">
        <w:t xml:space="preserve">vedrørende databeskyttelse for </w:t>
      </w:r>
      <w:r w:rsidRPr="00DC4F35">
        <w:t>brug af udvalgte applikationer og cloudtjenester i Microsoft 365</w:t>
      </w:r>
      <w:r w:rsidR="00A91E31" w:rsidRPr="00DC4F35">
        <w:t xml:space="preserve"> (herefter ”konsekvensanalysen”)</w:t>
      </w:r>
      <w:r w:rsidRPr="00DC4F35">
        <w:t xml:space="preserve"> og skal læses i sammenhæng hermed</w:t>
      </w:r>
      <w:r w:rsidR="00C65771">
        <w:t>, herunder i forhold til afgrænsningen af konsekvensanalysen</w:t>
      </w:r>
      <w:r w:rsidRPr="00DC4F35">
        <w:t xml:space="preserve">. </w:t>
      </w:r>
      <w:proofErr w:type="spellStart"/>
      <w:r w:rsidRPr="00DC4F35">
        <w:t>TIA’en</w:t>
      </w:r>
      <w:proofErr w:type="spellEnd"/>
      <w:r w:rsidRPr="00DC4F35">
        <w:t xml:space="preserve"> er en del af konsekvensanalysen som bilag </w:t>
      </w:r>
      <w:r w:rsidR="00706FEC" w:rsidRPr="00DC4F35">
        <w:t xml:space="preserve">F. </w:t>
      </w:r>
    </w:p>
    <w:p w14:paraId="70796D1A" w14:textId="77777777" w:rsidR="0080213C" w:rsidRPr="00DC4F35" w:rsidRDefault="0080213C" w:rsidP="007E2199">
      <w:pPr>
        <w:rPr>
          <w:lang w:eastAsia="da-DK"/>
        </w:rPr>
      </w:pPr>
    </w:p>
    <w:p w14:paraId="3197D696" w14:textId="2C8BDA73" w:rsidR="0036440D" w:rsidRPr="00DC4F35" w:rsidRDefault="0036440D" w:rsidP="0036440D">
      <w:proofErr w:type="spellStart"/>
      <w:r w:rsidRPr="00DC4F35">
        <w:rPr>
          <w:lang w:eastAsia="da-DK"/>
        </w:rPr>
        <w:t>TIA’en</w:t>
      </w:r>
      <w:proofErr w:type="spellEnd"/>
      <w:r w:rsidRPr="00DC4F35">
        <w:rPr>
          <w:lang w:eastAsia="da-DK"/>
        </w:rPr>
        <w:t xml:space="preserve"> er opbygget i overensstemmelse med den køreplan i </w:t>
      </w:r>
      <w:r w:rsidR="00B86430" w:rsidRPr="00DC4F35">
        <w:rPr>
          <w:lang w:eastAsia="da-DK"/>
        </w:rPr>
        <w:t xml:space="preserve">seks </w:t>
      </w:r>
      <w:r w:rsidRPr="00DC4F35">
        <w:rPr>
          <w:lang w:eastAsia="da-DK"/>
        </w:rPr>
        <w:t xml:space="preserve">trin, som følger af anbefalingerne fra </w:t>
      </w:r>
      <w:r w:rsidRPr="00DC4F35">
        <w:t xml:space="preserve">Det Europæiske Databeskyttelsesråd </w:t>
      </w:r>
      <w:r w:rsidR="000D2281" w:rsidRPr="00DC4F35">
        <w:t xml:space="preserve">(herefter ”EDPB") </w:t>
      </w:r>
      <w:r w:rsidRPr="00DC4F35">
        <w:t>om supplerende foranstaltninger ved tredjelandsoverførsler:</w:t>
      </w:r>
    </w:p>
    <w:p w14:paraId="291013C2" w14:textId="77777777" w:rsidR="0036440D" w:rsidRPr="00DC4F35" w:rsidRDefault="0036440D" w:rsidP="0036440D">
      <w:pPr>
        <w:pStyle w:val="Listeafsnit"/>
        <w:rPr>
          <w:lang w:eastAsia="da-DK"/>
        </w:rPr>
      </w:pPr>
    </w:p>
    <w:p w14:paraId="68D2B617" w14:textId="731722B3" w:rsidR="0036440D" w:rsidRPr="00DC4F35" w:rsidRDefault="0036440D" w:rsidP="009963C6">
      <w:pPr>
        <w:pStyle w:val="Listeafsnit"/>
        <w:numPr>
          <w:ilvl w:val="0"/>
          <w:numId w:val="31"/>
        </w:numPr>
        <w:rPr>
          <w:lang w:eastAsia="da-DK"/>
        </w:rPr>
      </w:pPr>
      <w:r w:rsidRPr="00DC4F35">
        <w:rPr>
          <w:lang w:eastAsia="da-DK"/>
        </w:rPr>
        <w:t>Trin 1: Identificér og beskriv overførslen</w:t>
      </w:r>
      <w:r w:rsidR="000D2281" w:rsidRPr="00DC4F35">
        <w:rPr>
          <w:lang w:eastAsia="da-DK"/>
        </w:rPr>
        <w:t>.</w:t>
      </w:r>
    </w:p>
    <w:p w14:paraId="76A08E88" w14:textId="35E7ADA9" w:rsidR="0036440D" w:rsidRPr="00DC4F35" w:rsidRDefault="0036440D" w:rsidP="009963C6">
      <w:pPr>
        <w:pStyle w:val="Listeafsnit"/>
        <w:numPr>
          <w:ilvl w:val="0"/>
          <w:numId w:val="31"/>
        </w:numPr>
        <w:rPr>
          <w:lang w:eastAsia="da-DK"/>
        </w:rPr>
      </w:pPr>
      <w:r w:rsidRPr="00DC4F35">
        <w:rPr>
          <w:lang w:eastAsia="da-DK"/>
        </w:rPr>
        <w:t>Trin 2: Fastlæg overførselsgrundlaget</w:t>
      </w:r>
      <w:r w:rsidR="000D2281" w:rsidRPr="00DC4F35">
        <w:rPr>
          <w:lang w:eastAsia="da-DK"/>
        </w:rPr>
        <w:t>.</w:t>
      </w:r>
    </w:p>
    <w:p w14:paraId="0888F31E" w14:textId="6F43EC19" w:rsidR="0036440D" w:rsidRPr="00DC4F35" w:rsidRDefault="0036440D" w:rsidP="009963C6">
      <w:pPr>
        <w:pStyle w:val="Listeafsnit"/>
        <w:numPr>
          <w:ilvl w:val="0"/>
          <w:numId w:val="31"/>
        </w:numPr>
        <w:rPr>
          <w:lang w:eastAsia="da-DK"/>
        </w:rPr>
      </w:pPr>
      <w:r w:rsidRPr="00DC4F35">
        <w:rPr>
          <w:lang w:eastAsia="da-DK"/>
        </w:rPr>
        <w:t xml:space="preserve">Trin 3: </w:t>
      </w:r>
      <w:r w:rsidRPr="00DC4F35">
        <w:t>Vurdér</w:t>
      </w:r>
      <w:r w:rsidR="000D2281" w:rsidRPr="00DC4F35">
        <w:t>,</w:t>
      </w:r>
      <w:r w:rsidRPr="00DC4F35">
        <w:t xml:space="preserve"> om det valgte overførselsværktøj i artikel 46 er effektivt i lyset af omstændighederne vedrørende overførslen</w:t>
      </w:r>
      <w:r w:rsidR="000D2281" w:rsidRPr="00DC4F35">
        <w:t>.</w:t>
      </w:r>
    </w:p>
    <w:p w14:paraId="08E3752F" w14:textId="71A4ECC2" w:rsidR="0036440D" w:rsidRPr="00DC4F35" w:rsidRDefault="0036440D" w:rsidP="009963C6">
      <w:pPr>
        <w:pStyle w:val="Listeafsnit"/>
        <w:numPr>
          <w:ilvl w:val="0"/>
          <w:numId w:val="31"/>
        </w:numPr>
        <w:rPr>
          <w:lang w:eastAsia="da-DK"/>
        </w:rPr>
      </w:pPr>
      <w:r w:rsidRPr="00DC4F35">
        <w:rPr>
          <w:lang w:eastAsia="da-DK"/>
        </w:rPr>
        <w:t>Trin 4: Identificér og fastsæt supplerende foranstaltninger</w:t>
      </w:r>
      <w:r w:rsidR="000D2281" w:rsidRPr="00DC4F35">
        <w:rPr>
          <w:lang w:eastAsia="da-DK"/>
        </w:rPr>
        <w:t>.</w:t>
      </w:r>
    </w:p>
    <w:p w14:paraId="191330CB" w14:textId="32EF487F" w:rsidR="0036440D" w:rsidRPr="00DC4F35" w:rsidRDefault="0036440D" w:rsidP="009963C6">
      <w:pPr>
        <w:pStyle w:val="Listeafsnit"/>
        <w:numPr>
          <w:ilvl w:val="0"/>
          <w:numId w:val="31"/>
        </w:numPr>
        <w:rPr>
          <w:lang w:eastAsia="da-DK"/>
        </w:rPr>
      </w:pPr>
      <w:r w:rsidRPr="00DC4F35">
        <w:rPr>
          <w:lang w:eastAsia="da-DK"/>
        </w:rPr>
        <w:t>Trin 5: Implementér overførselsgrundlag og supplerende foranstaltninger</w:t>
      </w:r>
      <w:r w:rsidR="000D2281" w:rsidRPr="00DC4F35">
        <w:rPr>
          <w:lang w:eastAsia="da-DK"/>
        </w:rPr>
        <w:t>.</w:t>
      </w:r>
    </w:p>
    <w:p w14:paraId="10438F60" w14:textId="77777777" w:rsidR="0036440D" w:rsidRPr="00DC4F35" w:rsidRDefault="0036440D" w:rsidP="009963C6">
      <w:pPr>
        <w:pStyle w:val="Listeafsnit"/>
        <w:numPr>
          <w:ilvl w:val="0"/>
          <w:numId w:val="31"/>
        </w:numPr>
        <w:rPr>
          <w:lang w:eastAsia="da-DK"/>
        </w:rPr>
      </w:pPr>
      <w:r w:rsidRPr="00DC4F35">
        <w:rPr>
          <w:lang w:eastAsia="da-DK"/>
        </w:rPr>
        <w:t>Trin 6: Foretag løbende evaluering og tilsyn.</w:t>
      </w:r>
    </w:p>
    <w:p w14:paraId="0AE00F20" w14:textId="77777777" w:rsidR="0036440D" w:rsidRPr="00DC4F35" w:rsidRDefault="0036440D" w:rsidP="0036440D">
      <w:pPr>
        <w:rPr>
          <w:highlight w:val="yellow"/>
        </w:rPr>
      </w:pPr>
    </w:p>
    <w:p w14:paraId="50B0E969" w14:textId="77777777" w:rsidR="0036440D" w:rsidRPr="00DC4F35" w:rsidRDefault="0036440D" w:rsidP="0036440D">
      <w:pPr>
        <w:pStyle w:val="Overskrift1"/>
      </w:pPr>
      <w:bookmarkStart w:id="5" w:name="_Toc170824018"/>
      <w:r w:rsidRPr="00DC4F35">
        <w:lastRenderedPageBreak/>
        <w:t>Sammenfatning og konklusion</w:t>
      </w:r>
      <w:bookmarkEnd w:id="5"/>
    </w:p>
    <w:p w14:paraId="2DF7301F" w14:textId="0C483710" w:rsidR="0036440D" w:rsidRPr="00DC4F35" w:rsidRDefault="00D2251E" w:rsidP="0036440D">
      <w:r w:rsidRPr="00DC4F35">
        <w:t xml:space="preserve">Statens </w:t>
      </w:r>
      <w:proofErr w:type="spellStart"/>
      <w:r w:rsidRPr="00DC4F35">
        <w:t>It’s</w:t>
      </w:r>
      <w:proofErr w:type="spellEnd"/>
      <w:r w:rsidR="0036440D" w:rsidRPr="00DC4F35">
        <w:t xml:space="preserve"> </w:t>
      </w:r>
      <w:r w:rsidR="00E124E2" w:rsidRPr="00DC4F35">
        <w:t xml:space="preserve">og Økonomistyrelsens </w:t>
      </w:r>
      <w:r w:rsidR="0036440D" w:rsidRPr="00DC4F35">
        <w:t>konklusioner kan som nærmere belyst i de enkelte trin nedenfor sammenfattes som følger:</w:t>
      </w:r>
    </w:p>
    <w:p w14:paraId="7EFDD9F8" w14:textId="77777777" w:rsidR="0036440D" w:rsidRPr="00DC4F35" w:rsidRDefault="0036440D" w:rsidP="0036440D">
      <w:pPr>
        <w:rPr>
          <w:lang w:eastAsia="da-DK"/>
        </w:rPr>
      </w:pPr>
    </w:p>
    <w:p w14:paraId="2157280B" w14:textId="234AA770" w:rsidR="00E37CA5" w:rsidRPr="00DC4F35" w:rsidRDefault="00E37CA5" w:rsidP="006D1C13">
      <w:pPr>
        <w:pStyle w:val="Overskrift2"/>
        <w:rPr>
          <w:lang w:eastAsia="da-DK"/>
        </w:rPr>
      </w:pPr>
      <w:bookmarkStart w:id="6" w:name="_Toc170824019"/>
      <w:r w:rsidRPr="00DC4F35">
        <w:rPr>
          <w:lang w:eastAsia="da-DK"/>
        </w:rPr>
        <w:t>For så vidt angår Microsoft</w:t>
      </w:r>
      <w:r w:rsidR="002B4CBD" w:rsidRPr="00DC4F35">
        <w:rPr>
          <w:lang w:eastAsia="da-DK"/>
        </w:rPr>
        <w:t xml:space="preserve"> Irelands </w:t>
      </w:r>
      <w:r w:rsidRPr="00DC4F35">
        <w:rPr>
          <w:lang w:eastAsia="da-DK"/>
        </w:rPr>
        <w:t>behandling og opbevaring af personoplysninger i EU</w:t>
      </w:r>
      <w:r w:rsidR="0038478C" w:rsidRPr="00DC4F35">
        <w:rPr>
          <w:lang w:eastAsia="da-DK"/>
        </w:rPr>
        <w:t xml:space="preserve"> som led i EU Data </w:t>
      </w:r>
      <w:proofErr w:type="spellStart"/>
      <w:r w:rsidR="0038478C" w:rsidRPr="00DC4F35">
        <w:rPr>
          <w:lang w:eastAsia="da-DK"/>
        </w:rPr>
        <w:t>Boundary</w:t>
      </w:r>
      <w:bookmarkEnd w:id="6"/>
      <w:proofErr w:type="spellEnd"/>
    </w:p>
    <w:p w14:paraId="634E2674" w14:textId="43465A6B" w:rsidR="00304C0E" w:rsidRPr="00DC4F35" w:rsidRDefault="00304C0E" w:rsidP="00304C0E">
      <w:pPr>
        <w:pStyle w:val="Listeafsnit"/>
        <w:numPr>
          <w:ilvl w:val="0"/>
          <w:numId w:val="32"/>
        </w:numPr>
        <w:rPr>
          <w:lang w:eastAsia="da-DK"/>
        </w:rPr>
      </w:pPr>
      <w:r w:rsidRPr="00DC4F35">
        <w:rPr>
          <w:lang w:eastAsia="da-DK"/>
        </w:rPr>
        <w:t xml:space="preserve">At De Dataansvarliges </w:t>
      </w:r>
      <w:r w:rsidRPr="00DC4F35">
        <w:rPr>
          <w:rFonts w:cstheme="minorHAnsi"/>
          <w:iCs/>
        </w:rPr>
        <w:t xml:space="preserve">brug af </w:t>
      </w:r>
      <w:r w:rsidRPr="00DC4F35">
        <w:rPr>
          <w:lang w:eastAsia="da-DK"/>
        </w:rPr>
        <w:t xml:space="preserve">de udvalgte applikationer og cloudtjenester i Microsoft 365 </w:t>
      </w:r>
      <w:r w:rsidRPr="00DC4F35">
        <w:rPr>
          <w:rFonts w:cstheme="minorHAnsi"/>
          <w:iCs/>
        </w:rPr>
        <w:t xml:space="preserve">vil blive omfattet af </w:t>
      </w:r>
      <w:r w:rsidRPr="00DC4F35">
        <w:rPr>
          <w:rFonts w:cstheme="minorHAnsi"/>
        </w:rPr>
        <w:t xml:space="preserve">”EU Data </w:t>
      </w:r>
      <w:proofErr w:type="spellStart"/>
      <w:r w:rsidRPr="00DC4F35">
        <w:rPr>
          <w:rFonts w:cstheme="minorHAnsi"/>
        </w:rPr>
        <w:t>Boundary</w:t>
      </w:r>
      <w:proofErr w:type="spellEnd"/>
      <w:r w:rsidRPr="00DC4F35">
        <w:rPr>
          <w:rFonts w:cstheme="minorHAnsi"/>
        </w:rPr>
        <w:t>”, hvilket betyder, at Microsoft</w:t>
      </w:r>
      <w:r w:rsidR="002B4CBD" w:rsidRPr="00DC4F35">
        <w:rPr>
          <w:rFonts w:cstheme="minorHAnsi"/>
        </w:rPr>
        <w:t xml:space="preserve"> Ireland</w:t>
      </w:r>
      <w:r w:rsidRPr="00DC4F35">
        <w:rPr>
          <w:rFonts w:cstheme="minorHAnsi"/>
        </w:rPr>
        <w:t xml:space="preserve"> med undtagelse af en række konkrete tilfælde forpligter sig til at behandle, herunder opbevare, personoplysningerne inden for EU/EØS. </w:t>
      </w:r>
    </w:p>
    <w:p w14:paraId="3068CEE8" w14:textId="36BF9DA3" w:rsidR="00E37CA5" w:rsidRPr="00DC4F35" w:rsidRDefault="00304C0E" w:rsidP="002B4CBD">
      <w:pPr>
        <w:pStyle w:val="Listeafsnit"/>
        <w:numPr>
          <w:ilvl w:val="0"/>
          <w:numId w:val="32"/>
        </w:numPr>
        <w:rPr>
          <w:lang w:eastAsia="da-DK"/>
        </w:rPr>
      </w:pPr>
      <w:r w:rsidRPr="00DC4F35">
        <w:rPr>
          <w:rFonts w:cstheme="minorHAnsi"/>
        </w:rPr>
        <w:t xml:space="preserve">At Microsoft </w:t>
      </w:r>
      <w:r w:rsidR="002B4CBD" w:rsidRPr="00DC4F35">
        <w:rPr>
          <w:rFonts w:cstheme="minorHAnsi"/>
        </w:rPr>
        <w:t xml:space="preserve">Ireland </w:t>
      </w:r>
      <w:r w:rsidRPr="00DC4F35">
        <w:rPr>
          <w:rFonts w:cstheme="minorHAnsi"/>
        </w:rPr>
        <w:t xml:space="preserve">ved en </w:t>
      </w:r>
      <w:r w:rsidR="002B4CBD" w:rsidRPr="00DC4F35">
        <w:rPr>
          <w:rFonts w:cstheme="minorHAnsi"/>
        </w:rPr>
        <w:t>tilføjelse til</w:t>
      </w:r>
      <w:r w:rsidRPr="00DC4F35">
        <w:rPr>
          <w:rFonts w:cstheme="minorHAnsi"/>
        </w:rPr>
        <w:t xml:space="preserve"> Microsoft</w:t>
      </w:r>
      <w:r w:rsidR="002B4CBD" w:rsidRPr="00DC4F35">
        <w:rPr>
          <w:rFonts w:cstheme="minorHAnsi"/>
        </w:rPr>
        <w:t xml:space="preserve"> Irelands</w:t>
      </w:r>
      <w:r w:rsidRPr="00DC4F35">
        <w:rPr>
          <w:rFonts w:cstheme="minorHAnsi"/>
        </w:rPr>
        <w:t xml:space="preserve"> standardvilkår</w:t>
      </w:r>
      <w:r w:rsidR="002B4CBD" w:rsidRPr="00DC4F35">
        <w:rPr>
          <w:rFonts w:cstheme="minorHAnsi"/>
        </w:rPr>
        <w:t xml:space="preserve"> i Microsoft Irelands databehandleraftale</w:t>
      </w:r>
      <w:r w:rsidRPr="00DC4F35">
        <w:rPr>
          <w:rFonts w:cstheme="minorHAnsi"/>
        </w:rPr>
        <w:t xml:space="preserve"> har forpligtet sig til – uden undtagelse – at undlade at udlevere personoplysninger </w:t>
      </w:r>
      <w:r w:rsidR="00984A52" w:rsidRPr="00DC4F35">
        <w:rPr>
          <w:rFonts w:cstheme="minorHAnsi"/>
        </w:rPr>
        <w:t>behandlet</w:t>
      </w:r>
      <w:r w:rsidRPr="00DC4F35">
        <w:rPr>
          <w:rFonts w:cstheme="minorHAnsi"/>
        </w:rPr>
        <w:t xml:space="preserve"> i EU til tredjelandes myndigheder, medmindre det følger af EU-retten</w:t>
      </w:r>
      <w:r w:rsidR="002B4CBD" w:rsidRPr="00DC4F35">
        <w:rPr>
          <w:rFonts w:cstheme="minorHAnsi"/>
        </w:rPr>
        <w:t xml:space="preserve">, og </w:t>
      </w:r>
      <w:r w:rsidR="002B4CBD" w:rsidRPr="00DC4F35">
        <w:rPr>
          <w:lang w:eastAsia="da-DK"/>
        </w:rPr>
        <w:t>at tilføjelsen til standardvilkårene kan betragtes som en afgrænsning og præcisering af, at Microsoft Ireland i alle tilfælde af udleveringsanmodninger om data, herunder personoplysninger, fra tredjelandes myndigheder i henhold til tredjelands lov kun vil udlevere disse data og personoplysninger, såfremt det er i overensstemmelse med EU-ret. Det vurderes, at Microsoft Ireland herefter ikke uden at handle i strid med instruksen i databehandleraftalen vil kunne efterkomme en udleveringsanmodning i strid med EU-retten.</w:t>
      </w:r>
    </w:p>
    <w:p w14:paraId="30CB0A1E" w14:textId="1A0F7F88" w:rsidR="00C63778" w:rsidRPr="00DC4F35" w:rsidRDefault="00C63778" w:rsidP="00C63778">
      <w:pPr>
        <w:pStyle w:val="Listeafsnit"/>
        <w:numPr>
          <w:ilvl w:val="0"/>
          <w:numId w:val="32"/>
        </w:numPr>
        <w:rPr>
          <w:lang w:eastAsia="da-DK"/>
        </w:rPr>
      </w:pPr>
      <w:r w:rsidRPr="00DC4F35">
        <w:rPr>
          <w:lang w:eastAsia="da-DK"/>
        </w:rPr>
        <w:t xml:space="preserve">Et sådant vilkår </w:t>
      </w:r>
      <w:r w:rsidR="009C33EE" w:rsidRPr="00DC4F35">
        <w:rPr>
          <w:lang w:eastAsia="da-DK"/>
        </w:rPr>
        <w:t>er</w:t>
      </w:r>
      <w:r w:rsidRPr="00DC4F35">
        <w:rPr>
          <w:lang w:eastAsia="da-DK"/>
        </w:rPr>
        <w:t xml:space="preserve"> i overensstemmelse med databeskyttelsesforordningens artikel 28, stk. 3, litra a</w:t>
      </w:r>
      <w:r w:rsidR="00E43053" w:rsidRPr="00DC4F35">
        <w:rPr>
          <w:lang w:eastAsia="da-DK"/>
        </w:rPr>
        <w:t>,</w:t>
      </w:r>
      <w:r w:rsidRPr="00DC4F35">
        <w:rPr>
          <w:lang w:eastAsia="da-DK"/>
        </w:rPr>
        <w:t xml:space="preserve"> og artikel 29. Det vil således være i overensstemmelse med EU-retten at overføre personoplysninger til en modtager i et tredjeland, hvis det kræves i henhold til EU-ret eller medlemsstaternes nationale ret.</w:t>
      </w:r>
    </w:p>
    <w:p w14:paraId="48B7B22F" w14:textId="113039A4" w:rsidR="00C63778" w:rsidRPr="00DC4F35" w:rsidRDefault="00C63778" w:rsidP="00E37CA5">
      <w:pPr>
        <w:pStyle w:val="Listeafsnit"/>
        <w:numPr>
          <w:ilvl w:val="0"/>
          <w:numId w:val="32"/>
        </w:numPr>
        <w:rPr>
          <w:lang w:eastAsia="da-DK"/>
        </w:rPr>
      </w:pPr>
      <w:r w:rsidRPr="00DC4F35">
        <w:rPr>
          <w:lang w:eastAsia="da-DK"/>
        </w:rPr>
        <w:t>De Dataansvarlige vil således som dataansvarlige i overensstemmelse med databeskyttelsesforordningens artikel 28, stk. 3, litra a, og artikel 29 kunne benytte Microsoft Ireland som databehandler, idet den omhandlede tilføjelse til standardvilkåret om, at Microsoft Ireland alene vil udlevere personoplysningerne, hvis det følger af EU-retten, indgås mellem parterne.</w:t>
      </w:r>
    </w:p>
    <w:p w14:paraId="13CE4D12" w14:textId="07965079" w:rsidR="00D10F6F" w:rsidRPr="00DC4F35" w:rsidRDefault="00D10F6F" w:rsidP="00E37CA5">
      <w:pPr>
        <w:pStyle w:val="Listeafsnit"/>
        <w:numPr>
          <w:ilvl w:val="0"/>
          <w:numId w:val="32"/>
        </w:numPr>
        <w:rPr>
          <w:lang w:eastAsia="da-DK"/>
        </w:rPr>
      </w:pPr>
      <w:r w:rsidRPr="00DC4F35">
        <w:rPr>
          <w:lang w:eastAsia="da-DK"/>
        </w:rPr>
        <w:t xml:space="preserve">De Dataansvarlige har dog foretaget en risikovurdering, jf. databeskyttelsesforordningens artikel 32, som omfatter en vurdering af, hvorvidt Microsoft Ireland kan forventes at ville overholde tilføjelsen til standardvilkåret, dvs. alene udlevere personoplysninger </w:t>
      </w:r>
      <w:r w:rsidR="00A756A2" w:rsidRPr="00DC4F35">
        <w:rPr>
          <w:lang w:eastAsia="da-DK"/>
        </w:rPr>
        <w:t>til tredjelandes myndigheder</w:t>
      </w:r>
      <w:r w:rsidRPr="00DC4F35">
        <w:rPr>
          <w:lang w:eastAsia="da-DK"/>
        </w:rPr>
        <w:t xml:space="preserve"> i henhold til EU-retten. Dette omfatter også en vurdering af, hvilke tiltag der tages for at sikre</w:t>
      </w:r>
      <w:r w:rsidR="00A756A2" w:rsidRPr="00DC4F35">
        <w:rPr>
          <w:lang w:eastAsia="da-DK"/>
        </w:rPr>
        <w:t>,</w:t>
      </w:r>
      <w:r w:rsidRPr="00DC4F35">
        <w:rPr>
          <w:lang w:eastAsia="da-DK"/>
        </w:rPr>
        <w:t xml:space="preserve"> at der kan opnås den nødvendige behandlingssikkerhed, herunder at Microsoft Ireland behandler personoplysningerne fortroligt og ikke uforvarende gør dem tilgængelige for uvedkommende. Her skal bl.a. indgå momenter såsom oplysningernes karakter (følsomme/ikke-følsomme) samt omfanget af behandlingen m.v. Risikovurderingen viser, at der samlet set vil være en </w:t>
      </w:r>
      <w:r w:rsidR="002B354E" w:rsidRPr="00023C6F">
        <w:rPr>
          <w:b/>
          <w:bCs/>
          <w:lang w:eastAsia="da-DK"/>
        </w:rPr>
        <w:t>lav-mellem</w:t>
      </w:r>
      <w:r w:rsidR="002B354E" w:rsidRPr="00DC4F35">
        <w:rPr>
          <w:lang w:eastAsia="da-DK"/>
        </w:rPr>
        <w:t xml:space="preserve"> </w:t>
      </w:r>
      <w:r w:rsidRPr="00DC4F35">
        <w:rPr>
          <w:lang w:eastAsia="da-DK"/>
        </w:rPr>
        <w:lastRenderedPageBreak/>
        <w:t>risiko for de registreredes rettigheder og frihedsrettigheder forbundet med Microsoft Irelands opbevaring og behandling af personoplysningerne i EU.</w:t>
      </w:r>
    </w:p>
    <w:p w14:paraId="3C611AD8" w14:textId="77777777" w:rsidR="00C63778" w:rsidRPr="00DC4F35" w:rsidRDefault="00C63778" w:rsidP="00E37CA5">
      <w:pPr>
        <w:rPr>
          <w:lang w:eastAsia="da-DK"/>
        </w:rPr>
      </w:pPr>
    </w:p>
    <w:p w14:paraId="3ED739A1" w14:textId="328D8335" w:rsidR="00E37CA5" w:rsidRPr="00DC4F35" w:rsidRDefault="00E37CA5" w:rsidP="00223900">
      <w:pPr>
        <w:pStyle w:val="Overskrift2"/>
        <w:rPr>
          <w:lang w:eastAsia="da-DK"/>
        </w:rPr>
      </w:pPr>
      <w:bookmarkStart w:id="7" w:name="_Toc170824020"/>
      <w:r w:rsidRPr="00DC4F35">
        <w:rPr>
          <w:lang w:eastAsia="da-DK"/>
        </w:rPr>
        <w:t>For så vidt angår tilsigtede overførsler af personoplysninger til tredjelande</w:t>
      </w:r>
      <w:r w:rsidR="00F2440E" w:rsidRPr="00DC4F35">
        <w:rPr>
          <w:lang w:eastAsia="da-DK"/>
        </w:rPr>
        <w:t xml:space="preserve"> (undtagelser til EU Data </w:t>
      </w:r>
      <w:proofErr w:type="spellStart"/>
      <w:r w:rsidR="00F2440E" w:rsidRPr="00DC4F35">
        <w:rPr>
          <w:lang w:eastAsia="da-DK"/>
        </w:rPr>
        <w:t>Boundary</w:t>
      </w:r>
      <w:proofErr w:type="spellEnd"/>
      <w:r w:rsidR="00F2440E" w:rsidRPr="00DC4F35">
        <w:rPr>
          <w:lang w:eastAsia="da-DK"/>
        </w:rPr>
        <w:t>)</w:t>
      </w:r>
      <w:bookmarkEnd w:id="7"/>
    </w:p>
    <w:p w14:paraId="6B9FEE96" w14:textId="6FF68123" w:rsidR="0036440D" w:rsidRPr="00DC4F35" w:rsidRDefault="0036440D" w:rsidP="009963C6">
      <w:pPr>
        <w:pStyle w:val="Listeafsnit"/>
        <w:numPr>
          <w:ilvl w:val="0"/>
          <w:numId w:val="32"/>
        </w:numPr>
        <w:rPr>
          <w:lang w:eastAsia="da-DK"/>
        </w:rPr>
      </w:pPr>
      <w:r w:rsidRPr="00DC4F35">
        <w:rPr>
          <w:lang w:eastAsia="da-DK"/>
        </w:rPr>
        <w:t xml:space="preserve">At der i forbindelse med </w:t>
      </w:r>
      <w:r w:rsidR="0073629B" w:rsidRPr="00DC4F35">
        <w:rPr>
          <w:lang w:eastAsia="da-DK"/>
        </w:rPr>
        <w:t>De Dataansvarliges</w:t>
      </w:r>
      <w:r w:rsidRPr="00DC4F35">
        <w:rPr>
          <w:lang w:eastAsia="da-DK"/>
        </w:rPr>
        <w:t xml:space="preserve"> brug af </w:t>
      </w:r>
      <w:r w:rsidR="0073629B" w:rsidRPr="00DC4F35">
        <w:rPr>
          <w:lang w:eastAsia="da-DK"/>
        </w:rPr>
        <w:t xml:space="preserve">de applikationer og cloudtjenester i Microsoft 365 </w:t>
      </w:r>
      <w:r w:rsidR="002A1DC2" w:rsidRPr="00DC4F35">
        <w:rPr>
          <w:lang w:eastAsia="da-DK"/>
        </w:rPr>
        <w:t xml:space="preserve">samt eventuelle supportydelser i forbindelse hermed </w:t>
      </w:r>
      <w:r w:rsidRPr="00DC4F35">
        <w:rPr>
          <w:lang w:eastAsia="da-DK"/>
        </w:rPr>
        <w:t xml:space="preserve">kan forekomme </w:t>
      </w:r>
      <w:r w:rsidR="00304C0E" w:rsidRPr="00DC4F35">
        <w:rPr>
          <w:lang w:eastAsia="da-DK"/>
        </w:rPr>
        <w:t xml:space="preserve">tilsigtede </w:t>
      </w:r>
      <w:r w:rsidR="003F2D82" w:rsidRPr="00DC4F35">
        <w:rPr>
          <w:lang w:eastAsia="da-DK"/>
        </w:rPr>
        <w:t>overførsler</w:t>
      </w:r>
      <w:r w:rsidRPr="00DC4F35">
        <w:rPr>
          <w:lang w:eastAsia="da-DK"/>
        </w:rPr>
        <w:t xml:space="preserve"> af personoplysninger</w:t>
      </w:r>
      <w:r w:rsidR="002A1DC2" w:rsidRPr="00DC4F35">
        <w:rPr>
          <w:lang w:eastAsia="da-DK"/>
        </w:rPr>
        <w:t xml:space="preserve"> til modtagere i tredjelande</w:t>
      </w:r>
      <w:r w:rsidRPr="00DC4F35">
        <w:rPr>
          <w:lang w:eastAsia="da-DK"/>
        </w:rPr>
        <w:t xml:space="preserve"> i forbindelse med overladelse af personoplysninger til Microsoft</w:t>
      </w:r>
      <w:r w:rsidR="00602631" w:rsidRPr="00DC4F35">
        <w:rPr>
          <w:lang w:eastAsia="da-DK"/>
        </w:rPr>
        <w:t xml:space="preserve"> Irelands</w:t>
      </w:r>
      <w:r w:rsidRPr="00DC4F35">
        <w:rPr>
          <w:lang w:eastAsia="da-DK"/>
        </w:rPr>
        <w:t xml:space="preserve"> underdatabehandlere</w:t>
      </w:r>
      <w:r w:rsidR="004756E4" w:rsidRPr="00DC4F35">
        <w:rPr>
          <w:lang w:eastAsia="da-DK"/>
        </w:rPr>
        <w:t xml:space="preserve">, idet der gælder visse undtagelser til EU Data </w:t>
      </w:r>
      <w:proofErr w:type="spellStart"/>
      <w:r w:rsidR="004756E4" w:rsidRPr="00DC4F35">
        <w:rPr>
          <w:lang w:eastAsia="da-DK"/>
        </w:rPr>
        <w:t>Boundary</w:t>
      </w:r>
      <w:proofErr w:type="spellEnd"/>
      <w:r w:rsidR="004756E4" w:rsidRPr="00DC4F35">
        <w:rPr>
          <w:lang w:eastAsia="da-DK"/>
        </w:rPr>
        <w:t>, hvor personoplysninger kan overføres til tredjelande.</w:t>
      </w:r>
    </w:p>
    <w:p w14:paraId="5C4CDE00" w14:textId="2C9BE8D3" w:rsidR="0036440D" w:rsidRPr="00DC4F35" w:rsidRDefault="0036440D" w:rsidP="009963C6">
      <w:pPr>
        <w:pStyle w:val="Listeafsnit"/>
        <w:numPr>
          <w:ilvl w:val="0"/>
          <w:numId w:val="32"/>
        </w:numPr>
        <w:rPr>
          <w:lang w:eastAsia="da-DK"/>
        </w:rPr>
      </w:pPr>
      <w:r w:rsidRPr="00DC4F35">
        <w:t xml:space="preserve">At der potentielt kan ske overførsel til ethvert tredjeland i verden i </w:t>
      </w:r>
      <w:r w:rsidR="00F54A8D" w:rsidRPr="00DC4F35">
        <w:t>de tilfælde</w:t>
      </w:r>
      <w:r w:rsidRPr="00DC4F35">
        <w:t xml:space="preserve">, </w:t>
      </w:r>
      <w:r w:rsidR="00F54A8D" w:rsidRPr="00DC4F35">
        <w:t>hvor</w:t>
      </w:r>
      <w:r w:rsidRPr="00DC4F35">
        <w:t xml:space="preserve"> u</w:t>
      </w:r>
      <w:r w:rsidR="001F5B6D" w:rsidRPr="00DC4F35">
        <w:t>n</w:t>
      </w:r>
      <w:r w:rsidRPr="00DC4F35">
        <w:t>dtagelsessituationer</w:t>
      </w:r>
      <w:r w:rsidR="00F54A8D" w:rsidRPr="00DC4F35">
        <w:t>ne</w:t>
      </w:r>
      <w:r w:rsidRPr="00DC4F35">
        <w:t xml:space="preserve"> finder anvendelse</w:t>
      </w:r>
      <w:r w:rsidR="003F2D82" w:rsidRPr="00DC4F35">
        <w:t xml:space="preserve">. </w:t>
      </w:r>
      <w:r w:rsidRPr="00DC4F35">
        <w:t xml:space="preserve">Microsoft </w:t>
      </w:r>
      <w:r w:rsidR="00B45D3F" w:rsidRPr="00DC4F35">
        <w:t xml:space="preserve">Ireland </w:t>
      </w:r>
      <w:r w:rsidR="003F2D82" w:rsidRPr="00DC4F35">
        <w:t xml:space="preserve">afgrænser således </w:t>
      </w:r>
      <w:r w:rsidRPr="00DC4F35">
        <w:t>ikke på forhånd</w:t>
      </w:r>
      <w:r w:rsidR="001F5B6D" w:rsidRPr="00DC4F35">
        <w:t>,</w:t>
      </w:r>
      <w:r w:rsidRPr="00DC4F35">
        <w:t xml:space="preserve"> hvilke underdatabehandlere der vil indgå i behandlingen</w:t>
      </w:r>
      <w:r w:rsidR="003F2D82" w:rsidRPr="00DC4F35">
        <w:t xml:space="preserve"> i relation til de ovennævnte undtagelser</w:t>
      </w:r>
      <w:r w:rsidR="00CB044C" w:rsidRPr="00DC4F35">
        <w:t>.</w:t>
      </w:r>
    </w:p>
    <w:p w14:paraId="4E063414" w14:textId="1FEA67EF" w:rsidR="00284BD6" w:rsidRPr="00DC4F35" w:rsidRDefault="00284BD6" w:rsidP="009963C6">
      <w:pPr>
        <w:pStyle w:val="Listeafsnit"/>
        <w:numPr>
          <w:ilvl w:val="0"/>
          <w:numId w:val="32"/>
        </w:numPr>
        <w:rPr>
          <w:lang w:eastAsia="da-DK"/>
        </w:rPr>
      </w:pPr>
      <w:r w:rsidRPr="00DC4F35">
        <w:t xml:space="preserve">At overførsler til </w:t>
      </w:r>
      <w:r w:rsidR="00B45D3F" w:rsidRPr="00DC4F35">
        <w:t xml:space="preserve">såkaldt sikre </w:t>
      </w:r>
      <w:r w:rsidRPr="00DC4F35">
        <w:t>tredjelande</w:t>
      </w:r>
      <w:r w:rsidR="00B45D3F" w:rsidRPr="00DC4F35">
        <w:t>, herunder Israel,</w:t>
      </w:r>
      <w:r w:rsidRPr="00DC4F35">
        <w:t xml:space="preserve"> kan ske efter databeskyttelsesforordningens artikel 45, stk. 3, idet der </w:t>
      </w:r>
      <w:r w:rsidR="00045CF6" w:rsidRPr="00DC4F35">
        <w:t>foreligger en tilstrækkelighedsafgørelse for så vidt angår disse lande</w:t>
      </w:r>
      <w:r w:rsidRPr="00DC4F35">
        <w:t xml:space="preserve">. </w:t>
      </w:r>
    </w:p>
    <w:p w14:paraId="0BED9AD1" w14:textId="24EC4E2A" w:rsidR="0036440D" w:rsidRPr="00DC4F35" w:rsidRDefault="0036440D" w:rsidP="009963C6">
      <w:pPr>
        <w:pStyle w:val="Listeafsnit"/>
        <w:numPr>
          <w:ilvl w:val="0"/>
          <w:numId w:val="32"/>
        </w:numPr>
        <w:rPr>
          <w:lang w:eastAsia="da-DK"/>
        </w:rPr>
      </w:pPr>
      <w:r w:rsidRPr="00DC4F35">
        <w:rPr>
          <w:lang w:eastAsia="da-DK"/>
        </w:rPr>
        <w:t xml:space="preserve">At overførsler til </w:t>
      </w:r>
      <w:r w:rsidRPr="00DC4F35">
        <w:rPr>
          <w:iCs/>
        </w:rPr>
        <w:t xml:space="preserve">Microsoft Corporation og </w:t>
      </w:r>
      <w:r w:rsidR="00A37A8E" w:rsidRPr="00DC4F35">
        <w:rPr>
          <w:iCs/>
        </w:rPr>
        <w:t xml:space="preserve">dennes </w:t>
      </w:r>
      <w:r w:rsidRPr="00DC4F35">
        <w:rPr>
          <w:iCs/>
        </w:rPr>
        <w:t>underdatabehandlere</w:t>
      </w:r>
      <w:r w:rsidR="00916936" w:rsidRPr="00DC4F35">
        <w:rPr>
          <w:iCs/>
        </w:rPr>
        <w:t xml:space="preserve"> etableret i USA</w:t>
      </w:r>
      <w:r w:rsidRPr="00DC4F35">
        <w:rPr>
          <w:iCs/>
        </w:rPr>
        <w:t xml:space="preserve">, der er certificeret under EU-U.S. Data </w:t>
      </w:r>
      <w:proofErr w:type="spellStart"/>
      <w:r w:rsidRPr="00DC4F35">
        <w:rPr>
          <w:iCs/>
        </w:rPr>
        <w:t>Privacy</w:t>
      </w:r>
      <w:proofErr w:type="spellEnd"/>
      <w:r w:rsidRPr="00DC4F35">
        <w:rPr>
          <w:iCs/>
        </w:rPr>
        <w:t xml:space="preserve"> Framework, </w:t>
      </w:r>
      <w:r w:rsidR="00422A3A" w:rsidRPr="00DC4F35">
        <w:rPr>
          <w:iCs/>
        </w:rPr>
        <w:t xml:space="preserve">kan </w:t>
      </w:r>
      <w:r w:rsidRPr="00DC4F35">
        <w:rPr>
          <w:iCs/>
        </w:rPr>
        <w:t>ske på baggrund af EU-Kommissionens tilstrækkelighedsafgørelse af den 10. juli 2023, jf. databeskyttelsesforordningens artikel 45, stk. 3.</w:t>
      </w:r>
    </w:p>
    <w:p w14:paraId="321D9053" w14:textId="444D2E62" w:rsidR="0036440D" w:rsidRPr="00DC4F35" w:rsidRDefault="0036440D" w:rsidP="00C83C91">
      <w:pPr>
        <w:pStyle w:val="Listeafsnit"/>
        <w:numPr>
          <w:ilvl w:val="0"/>
          <w:numId w:val="32"/>
        </w:numPr>
        <w:rPr>
          <w:lang w:eastAsia="da-DK"/>
        </w:rPr>
      </w:pPr>
      <w:r w:rsidRPr="00DC4F35">
        <w:rPr>
          <w:lang w:eastAsia="da-DK"/>
        </w:rPr>
        <w:t>At overførsler til underdatabehandlere</w:t>
      </w:r>
      <w:r w:rsidR="00916936" w:rsidRPr="00DC4F35">
        <w:rPr>
          <w:lang w:eastAsia="da-DK"/>
        </w:rPr>
        <w:t xml:space="preserve"> etableret i USA</w:t>
      </w:r>
      <w:r w:rsidRPr="00DC4F35">
        <w:rPr>
          <w:lang w:eastAsia="da-DK"/>
        </w:rPr>
        <w:t xml:space="preserve">, der ikke er certificeret under </w:t>
      </w:r>
      <w:r w:rsidRPr="00DC4F35">
        <w:rPr>
          <w:iCs/>
        </w:rPr>
        <w:t>EU-U.S. Data</w:t>
      </w:r>
      <w:r w:rsidR="003F2D82" w:rsidRPr="00DC4F35">
        <w:rPr>
          <w:iCs/>
        </w:rPr>
        <w:t xml:space="preserve"> </w:t>
      </w:r>
      <w:proofErr w:type="spellStart"/>
      <w:r w:rsidRPr="00DC4F35">
        <w:rPr>
          <w:iCs/>
        </w:rPr>
        <w:t>Privacy</w:t>
      </w:r>
      <w:proofErr w:type="spellEnd"/>
      <w:r w:rsidRPr="00DC4F35">
        <w:rPr>
          <w:iCs/>
        </w:rPr>
        <w:t xml:space="preserve"> Framework</w:t>
      </w:r>
      <w:r w:rsidR="004C3FFF" w:rsidRPr="00DC4F35">
        <w:rPr>
          <w:iCs/>
        </w:rPr>
        <w:t>,</w:t>
      </w:r>
      <w:r w:rsidRPr="00DC4F35">
        <w:rPr>
          <w:lang w:eastAsia="da-DK"/>
        </w:rPr>
        <w:t xml:space="preserve"> </w:t>
      </w:r>
      <w:r w:rsidR="00916936" w:rsidRPr="00DC4F35">
        <w:rPr>
          <w:lang w:eastAsia="da-DK"/>
        </w:rPr>
        <w:t xml:space="preserve">kan </w:t>
      </w:r>
      <w:r w:rsidRPr="00DC4F35">
        <w:rPr>
          <w:lang w:eastAsia="da-DK"/>
        </w:rPr>
        <w:t xml:space="preserve">baseres på EU-Kommissionens standardkontraktbestemmelser </w:t>
      </w:r>
      <w:r w:rsidRPr="00DC4F35">
        <w:rPr>
          <w:rFonts w:cstheme="minorHAnsi"/>
        </w:rPr>
        <w:t xml:space="preserve">af 2021 </w:t>
      </w:r>
      <w:r w:rsidRPr="00DC4F35">
        <w:rPr>
          <w:lang w:eastAsia="da-DK"/>
        </w:rPr>
        <w:t>modul 3 (</w:t>
      </w:r>
      <w:r w:rsidR="00916936" w:rsidRPr="00DC4F35">
        <w:rPr>
          <w:lang w:eastAsia="da-DK"/>
        </w:rPr>
        <w:t>databehandler til databehandler</w:t>
      </w:r>
      <w:r w:rsidRPr="00DC4F35">
        <w:rPr>
          <w:lang w:eastAsia="da-DK"/>
        </w:rPr>
        <w:t xml:space="preserve">), jf. </w:t>
      </w:r>
      <w:r w:rsidRPr="00DC4F35">
        <w:rPr>
          <w:iCs/>
        </w:rPr>
        <w:t>databeskyttelsesforordningens artikel 46, stk. 2, litra c</w:t>
      </w:r>
      <w:r w:rsidR="00AE2D2B" w:rsidRPr="00DC4F35">
        <w:rPr>
          <w:iCs/>
        </w:rPr>
        <w:t xml:space="preserve">, og at der </w:t>
      </w:r>
      <w:r w:rsidRPr="00DC4F35">
        <w:t>sikre</w:t>
      </w:r>
      <w:r w:rsidR="00AE2D2B" w:rsidRPr="00DC4F35">
        <w:t xml:space="preserve">s </w:t>
      </w:r>
      <w:r w:rsidRPr="00DC4F35">
        <w:t xml:space="preserve">et tilstrækkeligt beskyttelsesniveau ved at indgå EU-Kommissionens </w:t>
      </w:r>
      <w:r w:rsidRPr="00DC4F35">
        <w:rPr>
          <w:iCs/>
        </w:rPr>
        <w:t>standardkontraktbestemmelser</w:t>
      </w:r>
      <w:r w:rsidR="00AE2D2B" w:rsidRPr="00DC4F35">
        <w:rPr>
          <w:iCs/>
        </w:rPr>
        <w:t xml:space="preserve">, idet der </w:t>
      </w:r>
      <w:r w:rsidR="007346EE" w:rsidRPr="00DC4F35">
        <w:rPr>
          <w:iCs/>
        </w:rPr>
        <w:t xml:space="preserve">i tillæg til bestemmelserne i standardkontraktbestemmelserne </w:t>
      </w:r>
      <w:r w:rsidR="00AE2D2B" w:rsidRPr="00DC4F35">
        <w:rPr>
          <w:iCs/>
        </w:rPr>
        <w:t xml:space="preserve">er implementeret en række supplerende foranstaltninger med henblik på at understøtte </w:t>
      </w:r>
      <w:r w:rsidR="009F01D3" w:rsidRPr="00DC4F35">
        <w:rPr>
          <w:iCs/>
        </w:rPr>
        <w:t>beskyttelsen af personoplysninger og de registreredes rettigheder og frihedsrettigheder</w:t>
      </w:r>
      <w:r w:rsidRPr="00DC4F35">
        <w:t>,</w:t>
      </w:r>
      <w:r w:rsidR="00841581" w:rsidRPr="00DC4F35">
        <w:t xml:space="preserve"> og </w:t>
      </w:r>
      <w:r w:rsidR="007346EE" w:rsidRPr="00DC4F35">
        <w:t>idet alle de sikkerhedsforanstaltninger, der er indført af USA’s regering på området for national sikkerhed (herunder klagemekanismen) gælder for alle data, der overføres til USA, herunder også når overførselsgrundlaget er standardkontraktbestemmelserne,</w:t>
      </w:r>
      <w:r w:rsidRPr="00DC4F35">
        <w:t xml:space="preserve"> jf.</w:t>
      </w:r>
      <w:r w:rsidR="002C4684" w:rsidRPr="00DC4F35">
        <w:t xml:space="preserve"> herved også</w:t>
      </w:r>
      <w:r w:rsidRPr="00DC4F35">
        <w:t xml:space="preserve"> </w:t>
      </w:r>
      <w:proofErr w:type="spellStart"/>
      <w:r w:rsidR="009F01D3" w:rsidRPr="00DC4F35">
        <w:rPr>
          <w:iCs/>
        </w:rPr>
        <w:t>EDPB’s</w:t>
      </w:r>
      <w:proofErr w:type="spellEnd"/>
      <w:r w:rsidR="002D5E6B" w:rsidRPr="00DC4F35">
        <w:rPr>
          <w:iCs/>
        </w:rPr>
        <w:t xml:space="preserve"> </w:t>
      </w:r>
      <w:r w:rsidR="003F2D82" w:rsidRPr="00DC4F35">
        <w:t>“</w:t>
      </w:r>
      <w:r w:rsidR="003F2D82" w:rsidRPr="00DC4F35">
        <w:rPr>
          <w:rFonts w:cstheme="minorHAnsi"/>
        </w:rPr>
        <w:t xml:space="preserve">Information note on data transfers under the GDPR to the United States </w:t>
      </w:r>
      <w:proofErr w:type="spellStart"/>
      <w:r w:rsidR="003F2D82" w:rsidRPr="00DC4F35">
        <w:rPr>
          <w:rFonts w:cstheme="minorHAnsi"/>
        </w:rPr>
        <w:t>after</w:t>
      </w:r>
      <w:proofErr w:type="spellEnd"/>
      <w:r w:rsidR="003F2D82" w:rsidRPr="00DC4F35">
        <w:rPr>
          <w:rFonts w:cstheme="minorHAnsi"/>
        </w:rPr>
        <w:t xml:space="preserve"> the adoption of the </w:t>
      </w:r>
      <w:proofErr w:type="spellStart"/>
      <w:r w:rsidR="003F2D82" w:rsidRPr="00DC4F35">
        <w:rPr>
          <w:rFonts w:cstheme="minorHAnsi"/>
        </w:rPr>
        <w:t>adequacy</w:t>
      </w:r>
      <w:proofErr w:type="spellEnd"/>
      <w:r w:rsidR="003F2D82" w:rsidRPr="00DC4F35">
        <w:rPr>
          <w:rFonts w:cstheme="minorHAnsi"/>
        </w:rPr>
        <w:t xml:space="preserve"> decision on 10 </w:t>
      </w:r>
      <w:proofErr w:type="spellStart"/>
      <w:r w:rsidR="003F2D82" w:rsidRPr="00DC4F35">
        <w:rPr>
          <w:rFonts w:cstheme="minorHAnsi"/>
        </w:rPr>
        <w:t>July</w:t>
      </w:r>
      <w:proofErr w:type="spellEnd"/>
      <w:r w:rsidR="003F2D82" w:rsidRPr="00DC4F35">
        <w:rPr>
          <w:rFonts w:cstheme="minorHAnsi"/>
        </w:rPr>
        <w:t xml:space="preserve"> 2023</w:t>
      </w:r>
      <w:r w:rsidR="003F2D82" w:rsidRPr="00DC4F35">
        <w:t>”</w:t>
      </w:r>
      <w:r w:rsidR="007346EE" w:rsidRPr="00DC4F35">
        <w:t>, punkt 2.</w:t>
      </w:r>
      <w:r w:rsidRPr="00DC4F35">
        <w:t xml:space="preserve"> </w:t>
      </w:r>
    </w:p>
    <w:p w14:paraId="33367BCC" w14:textId="0702DA2B" w:rsidR="0036440D" w:rsidRPr="00DC4F35" w:rsidRDefault="0036440D" w:rsidP="009963C6">
      <w:pPr>
        <w:pStyle w:val="Listeafsnit"/>
        <w:numPr>
          <w:ilvl w:val="0"/>
          <w:numId w:val="32"/>
        </w:numPr>
        <w:rPr>
          <w:lang w:eastAsia="da-DK"/>
        </w:rPr>
      </w:pPr>
      <w:r w:rsidRPr="00DC4F35">
        <w:rPr>
          <w:lang w:eastAsia="da-DK"/>
        </w:rPr>
        <w:t xml:space="preserve">At </w:t>
      </w:r>
      <w:r w:rsidR="00AA7A1A" w:rsidRPr="00DC4F35">
        <w:rPr>
          <w:lang w:eastAsia="da-DK"/>
        </w:rPr>
        <w:t xml:space="preserve">De Dataansvarlige </w:t>
      </w:r>
      <w:r w:rsidRPr="00DC4F35">
        <w:rPr>
          <w:lang w:eastAsia="da-DK"/>
        </w:rPr>
        <w:t xml:space="preserve">kan basere </w:t>
      </w:r>
      <w:r w:rsidR="00C92FD6" w:rsidRPr="00DC4F35">
        <w:rPr>
          <w:lang w:eastAsia="da-DK"/>
        </w:rPr>
        <w:t xml:space="preserve">deres </w:t>
      </w:r>
      <w:r w:rsidRPr="00DC4F35">
        <w:rPr>
          <w:lang w:eastAsia="da-DK"/>
        </w:rPr>
        <w:t>vurdering af øvrige</w:t>
      </w:r>
      <w:r w:rsidR="00C92FD6" w:rsidRPr="00DC4F35">
        <w:rPr>
          <w:lang w:eastAsia="da-DK"/>
        </w:rPr>
        <w:t xml:space="preserve"> usikre</w:t>
      </w:r>
      <w:r w:rsidRPr="00DC4F35">
        <w:rPr>
          <w:lang w:eastAsia="da-DK"/>
        </w:rPr>
        <w:t xml:space="preserve"> tredjelandes lovgivning og nødvendige foranstaltninger på et ”</w:t>
      </w:r>
      <w:proofErr w:type="spellStart"/>
      <w:r w:rsidRPr="00DC4F35">
        <w:rPr>
          <w:i/>
          <w:iCs/>
          <w:lang w:eastAsia="da-DK"/>
        </w:rPr>
        <w:t>worst</w:t>
      </w:r>
      <w:proofErr w:type="spellEnd"/>
      <w:r w:rsidRPr="00DC4F35">
        <w:rPr>
          <w:i/>
          <w:iCs/>
          <w:lang w:eastAsia="da-DK"/>
        </w:rPr>
        <w:t xml:space="preserve"> case scenario</w:t>
      </w:r>
      <w:r w:rsidRPr="00DC4F35">
        <w:rPr>
          <w:lang w:eastAsia="da-DK"/>
        </w:rPr>
        <w:t xml:space="preserve">”, hvorefter </w:t>
      </w:r>
      <w:r w:rsidR="009B50B4" w:rsidRPr="00DC4F35">
        <w:rPr>
          <w:lang w:eastAsia="da-DK"/>
        </w:rPr>
        <w:t>S</w:t>
      </w:r>
      <w:r w:rsidR="00C92FD6" w:rsidRPr="00DC4F35">
        <w:rPr>
          <w:lang w:eastAsia="da-DK"/>
        </w:rPr>
        <w:t>tatens It</w:t>
      </w:r>
      <w:r w:rsidR="009B50B4" w:rsidRPr="00DC4F35">
        <w:rPr>
          <w:lang w:eastAsia="da-DK"/>
        </w:rPr>
        <w:t xml:space="preserve"> og </w:t>
      </w:r>
      <w:r w:rsidR="00C92FD6" w:rsidRPr="00DC4F35">
        <w:rPr>
          <w:lang w:eastAsia="da-DK"/>
        </w:rPr>
        <w:t>Økonomistyrelsen</w:t>
      </w:r>
      <w:r w:rsidR="003F2D82" w:rsidRPr="00DC4F35">
        <w:rPr>
          <w:lang w:eastAsia="da-DK"/>
        </w:rPr>
        <w:t xml:space="preserve"> l</w:t>
      </w:r>
      <w:r w:rsidRPr="00DC4F35">
        <w:rPr>
          <w:lang w:eastAsia="da-DK"/>
        </w:rPr>
        <w:t>ægge</w:t>
      </w:r>
      <w:r w:rsidR="003F2D82" w:rsidRPr="00DC4F35">
        <w:rPr>
          <w:lang w:eastAsia="da-DK"/>
        </w:rPr>
        <w:t>r</w:t>
      </w:r>
      <w:r w:rsidRPr="00DC4F35">
        <w:rPr>
          <w:lang w:eastAsia="da-DK"/>
        </w:rPr>
        <w:t xml:space="preserve"> til grund, at der sker overførsel til </w:t>
      </w:r>
      <w:r w:rsidR="00C92FD6" w:rsidRPr="00DC4F35">
        <w:rPr>
          <w:lang w:eastAsia="da-DK"/>
        </w:rPr>
        <w:t xml:space="preserve">usikre </w:t>
      </w:r>
      <w:r w:rsidRPr="00DC4F35">
        <w:rPr>
          <w:lang w:eastAsia="da-DK"/>
        </w:rPr>
        <w:t>tredjelande, der har ”problematisk” lovgivning og/eller praksis</w:t>
      </w:r>
      <w:r w:rsidR="00C7605D" w:rsidRPr="00DC4F35">
        <w:rPr>
          <w:lang w:eastAsia="da-DK"/>
        </w:rPr>
        <w:t>, dvs. hvor der ikke er etableret en beskyttelse, der i det væsentlige svarer til beskyttelsesniveauet i EU.</w:t>
      </w:r>
    </w:p>
    <w:p w14:paraId="3B1F3FBC" w14:textId="6819B168" w:rsidR="00A6371C" w:rsidRPr="00DC4F35" w:rsidRDefault="0036440D" w:rsidP="00C83C91">
      <w:pPr>
        <w:pStyle w:val="Listeafsnit"/>
        <w:numPr>
          <w:ilvl w:val="0"/>
          <w:numId w:val="32"/>
        </w:numPr>
        <w:rPr>
          <w:lang w:eastAsia="da-DK"/>
        </w:rPr>
      </w:pPr>
      <w:r w:rsidRPr="00DC4F35">
        <w:rPr>
          <w:lang w:eastAsia="da-DK"/>
        </w:rPr>
        <w:lastRenderedPageBreak/>
        <w:t xml:space="preserve">At </w:t>
      </w:r>
      <w:r w:rsidR="00FA171B" w:rsidRPr="00DC4F35">
        <w:rPr>
          <w:lang w:eastAsia="da-DK"/>
        </w:rPr>
        <w:t xml:space="preserve">der </w:t>
      </w:r>
      <w:r w:rsidR="009B50B4" w:rsidRPr="00DC4F35">
        <w:rPr>
          <w:lang w:eastAsia="da-DK"/>
        </w:rPr>
        <w:t>kan anvendes en risikobaseret tilgang</w:t>
      </w:r>
      <w:r w:rsidR="00A6371C" w:rsidRPr="00DC4F35">
        <w:rPr>
          <w:lang w:eastAsia="da-DK"/>
        </w:rPr>
        <w:t xml:space="preserve"> ved vurderingen af</w:t>
      </w:r>
      <w:r w:rsidR="00C92FD6" w:rsidRPr="00DC4F35">
        <w:rPr>
          <w:lang w:eastAsia="da-DK"/>
        </w:rPr>
        <w:t>,</w:t>
      </w:r>
      <w:r w:rsidR="00A6371C" w:rsidRPr="00DC4F35">
        <w:rPr>
          <w:lang w:eastAsia="da-DK"/>
        </w:rPr>
        <w:t xml:space="preserve"> om</w:t>
      </w:r>
      <w:r w:rsidR="00284C94" w:rsidRPr="00DC4F35">
        <w:rPr>
          <w:lang w:eastAsia="da-DK"/>
        </w:rPr>
        <w:t xml:space="preserve"> </w:t>
      </w:r>
      <w:r w:rsidR="00A6371C" w:rsidRPr="00DC4F35">
        <w:rPr>
          <w:lang w:eastAsia="da-DK"/>
        </w:rPr>
        <w:t xml:space="preserve">der er etableret </w:t>
      </w:r>
      <w:r w:rsidR="00A6371C" w:rsidRPr="00DC4F35">
        <w:rPr>
          <w:rFonts w:cstheme="minorHAnsi"/>
          <w:iCs/>
        </w:rPr>
        <w:t xml:space="preserve">det fornødne tilstrækkelige beskyttelsesniveau </w:t>
      </w:r>
      <w:r w:rsidR="00C965A9" w:rsidRPr="00DC4F35">
        <w:rPr>
          <w:rFonts w:cstheme="minorHAnsi"/>
          <w:iCs/>
        </w:rPr>
        <w:t>for så vidt angår overførsler</w:t>
      </w:r>
      <w:r w:rsidR="00B971BC" w:rsidRPr="00DC4F35">
        <w:rPr>
          <w:rFonts w:cstheme="minorHAnsi"/>
          <w:iCs/>
        </w:rPr>
        <w:t xml:space="preserve"> af personoplysninger</w:t>
      </w:r>
      <w:r w:rsidR="00A6371C" w:rsidRPr="00DC4F35">
        <w:rPr>
          <w:rFonts w:cstheme="minorHAnsi"/>
          <w:iCs/>
        </w:rPr>
        <w:t xml:space="preserve"> til disse øvrige tredjelande. </w:t>
      </w:r>
    </w:p>
    <w:p w14:paraId="01281ED5" w14:textId="2C99F17F" w:rsidR="00564F85" w:rsidRPr="00DC4F35" w:rsidRDefault="00A6371C" w:rsidP="00337466">
      <w:pPr>
        <w:pStyle w:val="Listeafsnit"/>
        <w:numPr>
          <w:ilvl w:val="0"/>
          <w:numId w:val="32"/>
        </w:numPr>
        <w:rPr>
          <w:lang w:eastAsia="da-DK"/>
        </w:rPr>
      </w:pPr>
      <w:r w:rsidRPr="00DC4F35">
        <w:rPr>
          <w:rFonts w:eastAsia="Times New Roman" w:cs="Times New Roman"/>
          <w:szCs w:val="23"/>
          <w:lang w:eastAsia="da-DK"/>
        </w:rPr>
        <w:t>At</w:t>
      </w:r>
      <w:r w:rsidR="00284C94" w:rsidRPr="00DC4F35">
        <w:rPr>
          <w:lang w:eastAsia="da-DK"/>
        </w:rPr>
        <w:t xml:space="preserve"> der ud fra en</w:t>
      </w:r>
      <w:r w:rsidR="00DD578C" w:rsidRPr="00DC4F35">
        <w:rPr>
          <w:lang w:eastAsia="da-DK"/>
        </w:rPr>
        <w:t xml:space="preserve"> sådan</w:t>
      </w:r>
      <w:r w:rsidR="00284C94" w:rsidRPr="00DC4F35">
        <w:rPr>
          <w:lang w:eastAsia="da-DK"/>
        </w:rPr>
        <w:t xml:space="preserve"> risikobaseret tilgang er</w:t>
      </w:r>
      <w:r w:rsidR="00FA171B" w:rsidRPr="00DC4F35">
        <w:rPr>
          <w:lang w:eastAsia="da-DK"/>
        </w:rPr>
        <w:t xml:space="preserve"> etablere</w:t>
      </w:r>
      <w:r w:rsidR="001F306E" w:rsidRPr="00DC4F35">
        <w:rPr>
          <w:lang w:eastAsia="da-DK"/>
        </w:rPr>
        <w:t>t</w:t>
      </w:r>
      <w:r w:rsidR="00FA171B" w:rsidRPr="00DC4F35">
        <w:rPr>
          <w:lang w:eastAsia="da-DK"/>
        </w:rPr>
        <w:t xml:space="preserve"> </w:t>
      </w:r>
      <w:r w:rsidR="00B971BC" w:rsidRPr="00DC4F35">
        <w:rPr>
          <w:lang w:eastAsia="da-DK"/>
        </w:rPr>
        <w:t>d</w:t>
      </w:r>
      <w:r w:rsidR="00B971BC" w:rsidRPr="00DC4F35">
        <w:rPr>
          <w:rFonts w:cstheme="minorHAnsi"/>
          <w:iCs/>
        </w:rPr>
        <w:t>et</w:t>
      </w:r>
      <w:r w:rsidR="00FA171B" w:rsidRPr="00DC4F35">
        <w:rPr>
          <w:rFonts w:cstheme="minorHAnsi"/>
          <w:iCs/>
        </w:rPr>
        <w:t xml:space="preserve"> fornød</w:t>
      </w:r>
      <w:r w:rsidR="00B971BC" w:rsidRPr="00DC4F35">
        <w:rPr>
          <w:rFonts w:cstheme="minorHAnsi"/>
          <w:iCs/>
        </w:rPr>
        <w:t>ne</w:t>
      </w:r>
      <w:r w:rsidR="0036440D" w:rsidRPr="00DC4F35">
        <w:rPr>
          <w:rFonts w:cstheme="minorHAnsi"/>
          <w:iCs/>
        </w:rPr>
        <w:t xml:space="preserve"> tilstrækkelig</w:t>
      </w:r>
      <w:r w:rsidR="00B971BC" w:rsidRPr="00DC4F35">
        <w:rPr>
          <w:rFonts w:cstheme="minorHAnsi"/>
          <w:iCs/>
        </w:rPr>
        <w:t>e</w:t>
      </w:r>
      <w:r w:rsidR="0036440D" w:rsidRPr="00DC4F35">
        <w:rPr>
          <w:rFonts w:cstheme="minorHAnsi"/>
          <w:iCs/>
        </w:rPr>
        <w:t xml:space="preserve"> beskyttelsesniveau </w:t>
      </w:r>
      <w:r w:rsidR="00B971BC" w:rsidRPr="00DC4F35">
        <w:rPr>
          <w:rFonts w:cstheme="minorHAnsi"/>
          <w:iCs/>
        </w:rPr>
        <w:t xml:space="preserve">for så vidt angår overførsler af personoplysninger </w:t>
      </w:r>
      <w:r w:rsidR="002D5E6B" w:rsidRPr="00DC4F35">
        <w:rPr>
          <w:rFonts w:cstheme="minorHAnsi"/>
          <w:iCs/>
        </w:rPr>
        <w:t xml:space="preserve">til </w:t>
      </w:r>
      <w:r w:rsidR="002C4684" w:rsidRPr="00DC4F35">
        <w:rPr>
          <w:rFonts w:cstheme="minorHAnsi"/>
          <w:iCs/>
        </w:rPr>
        <w:t xml:space="preserve">disse </w:t>
      </w:r>
      <w:r w:rsidR="003F2D82" w:rsidRPr="00DC4F35">
        <w:rPr>
          <w:rFonts w:cstheme="minorHAnsi"/>
          <w:iCs/>
        </w:rPr>
        <w:t>øvrige tredjelande</w:t>
      </w:r>
      <w:r w:rsidR="005B3E60" w:rsidRPr="00DC4F35">
        <w:rPr>
          <w:lang w:eastAsia="da-DK"/>
        </w:rPr>
        <w:t xml:space="preserve">, og at den </w:t>
      </w:r>
      <w:r w:rsidR="001B36B9" w:rsidRPr="00DC4F35">
        <w:rPr>
          <w:lang w:eastAsia="da-DK"/>
        </w:rPr>
        <w:t>samlede</w:t>
      </w:r>
      <w:r w:rsidR="001B4C99" w:rsidRPr="00DC4F35">
        <w:rPr>
          <w:lang w:eastAsia="da-DK"/>
        </w:rPr>
        <w:t xml:space="preserve"> </w:t>
      </w:r>
      <w:r w:rsidR="001B36B9" w:rsidRPr="00DC4F35">
        <w:rPr>
          <w:lang w:eastAsia="da-DK"/>
        </w:rPr>
        <w:t>risiko for de registrerede</w:t>
      </w:r>
      <w:r w:rsidR="005B3E60" w:rsidRPr="00DC4F35">
        <w:rPr>
          <w:lang w:eastAsia="da-DK"/>
        </w:rPr>
        <w:t>s rettigheder og frihedsrettigheder</w:t>
      </w:r>
      <w:r w:rsidR="00E46FC8" w:rsidRPr="00DC4F35">
        <w:rPr>
          <w:lang w:eastAsia="da-DK"/>
        </w:rPr>
        <w:t xml:space="preserve"> efter </w:t>
      </w:r>
      <w:proofErr w:type="spellStart"/>
      <w:r w:rsidR="00E46FC8" w:rsidRPr="00DC4F35">
        <w:rPr>
          <w:lang w:eastAsia="da-DK"/>
        </w:rPr>
        <w:t>mitigering</w:t>
      </w:r>
      <w:proofErr w:type="spellEnd"/>
      <w:r w:rsidR="001B36B9" w:rsidRPr="00DC4F35">
        <w:rPr>
          <w:lang w:eastAsia="da-DK"/>
        </w:rPr>
        <w:t xml:space="preserve"> i forbindelse med overførslerne </w:t>
      </w:r>
      <w:r w:rsidR="009D5720" w:rsidRPr="00DC4F35">
        <w:rPr>
          <w:lang w:eastAsia="da-DK"/>
        </w:rPr>
        <w:t xml:space="preserve">på denne baggrund </w:t>
      </w:r>
      <w:r w:rsidR="001B36B9" w:rsidRPr="00DC4F35">
        <w:rPr>
          <w:lang w:eastAsia="da-DK"/>
        </w:rPr>
        <w:t>vurderes at</w:t>
      </w:r>
      <w:r w:rsidR="00E46FC8" w:rsidRPr="00DC4F35">
        <w:rPr>
          <w:lang w:eastAsia="da-DK"/>
        </w:rPr>
        <w:t xml:space="preserve"> være</w:t>
      </w:r>
      <w:r w:rsidR="001B36B9" w:rsidRPr="00DC4F35">
        <w:rPr>
          <w:lang w:eastAsia="da-DK"/>
        </w:rPr>
        <w:t xml:space="preserve"> </w:t>
      </w:r>
      <w:r w:rsidR="00E421DA" w:rsidRPr="00023C6F">
        <w:rPr>
          <w:b/>
          <w:bCs/>
          <w:lang w:eastAsia="da-DK"/>
        </w:rPr>
        <w:t>lav-</w:t>
      </w:r>
      <w:r w:rsidR="00023C6F" w:rsidRPr="00023C6F">
        <w:rPr>
          <w:b/>
          <w:bCs/>
          <w:lang w:eastAsia="da-DK"/>
        </w:rPr>
        <w:t>mellem</w:t>
      </w:r>
      <w:r w:rsidR="001B36B9" w:rsidRPr="00DC4F35">
        <w:rPr>
          <w:lang w:eastAsia="da-DK"/>
        </w:rPr>
        <w:t xml:space="preserve">. </w:t>
      </w:r>
    </w:p>
    <w:p w14:paraId="21C46BD9" w14:textId="3DE80518" w:rsidR="0036440D" w:rsidRPr="00DC4F35" w:rsidRDefault="0036440D" w:rsidP="00C92FD6">
      <w:pPr>
        <w:pStyle w:val="Listeafsnit"/>
        <w:numPr>
          <w:ilvl w:val="0"/>
          <w:numId w:val="32"/>
        </w:numPr>
      </w:pPr>
      <w:r w:rsidRPr="00DC4F35">
        <w:rPr>
          <w:lang w:eastAsia="da-DK"/>
        </w:rPr>
        <w:t>At</w:t>
      </w:r>
      <w:r w:rsidR="00EF0AED" w:rsidRPr="00DC4F35">
        <w:rPr>
          <w:lang w:eastAsia="da-DK"/>
        </w:rPr>
        <w:t xml:space="preserve"> </w:t>
      </w:r>
      <w:r w:rsidR="00284C94" w:rsidRPr="00DC4F35">
        <w:rPr>
          <w:lang w:eastAsia="da-DK"/>
        </w:rPr>
        <w:t>De Dataansvarlige</w:t>
      </w:r>
      <w:r w:rsidR="00BC2D9E" w:rsidRPr="00DC4F35">
        <w:rPr>
          <w:lang w:eastAsia="da-DK"/>
        </w:rPr>
        <w:t xml:space="preserve">, hvis </w:t>
      </w:r>
      <w:r w:rsidR="00284C94" w:rsidRPr="00DC4F35">
        <w:rPr>
          <w:lang w:eastAsia="da-DK"/>
        </w:rPr>
        <w:t xml:space="preserve">det besluttes </w:t>
      </w:r>
      <w:r w:rsidR="00E738A5" w:rsidRPr="00DC4F35">
        <w:rPr>
          <w:lang w:eastAsia="da-DK"/>
        </w:rPr>
        <w:t>at</w:t>
      </w:r>
      <w:r w:rsidR="00284C94" w:rsidRPr="00DC4F35">
        <w:rPr>
          <w:lang w:eastAsia="da-DK"/>
        </w:rPr>
        <w:t xml:space="preserve"> bruge de applikationer og cloudtjenester i Microsoft 365</w:t>
      </w:r>
      <w:r w:rsidR="00BC2D9E" w:rsidRPr="00DC4F35">
        <w:rPr>
          <w:lang w:eastAsia="da-DK"/>
        </w:rPr>
        <w:t xml:space="preserve"> </w:t>
      </w:r>
      <w:r w:rsidR="00284C94" w:rsidRPr="00DC4F35">
        <w:rPr>
          <w:lang w:eastAsia="da-DK"/>
        </w:rPr>
        <w:t>samt eventuelle supportydelser i forbindelse hermed</w:t>
      </w:r>
      <w:r w:rsidR="00BC2D9E" w:rsidRPr="00DC4F35">
        <w:rPr>
          <w:lang w:eastAsia="da-DK"/>
        </w:rPr>
        <w:t xml:space="preserve">, sikrer etablering af </w:t>
      </w:r>
      <w:r w:rsidRPr="00DC4F35">
        <w:rPr>
          <w:lang w:eastAsia="da-DK"/>
        </w:rPr>
        <w:t>EU-Kommissionens standardkontraktbestemmelser samt</w:t>
      </w:r>
      <w:r w:rsidR="00BC2D9E" w:rsidRPr="00DC4F35">
        <w:rPr>
          <w:lang w:eastAsia="da-DK"/>
        </w:rPr>
        <w:t xml:space="preserve"> implementering af</w:t>
      </w:r>
      <w:r w:rsidRPr="00DC4F35">
        <w:rPr>
          <w:lang w:eastAsia="da-DK"/>
        </w:rPr>
        <w:t xml:space="preserve"> </w:t>
      </w:r>
      <w:r w:rsidR="00B971BC" w:rsidRPr="00DC4F35">
        <w:rPr>
          <w:lang w:eastAsia="da-DK"/>
        </w:rPr>
        <w:t xml:space="preserve">de </w:t>
      </w:r>
      <w:r w:rsidRPr="00DC4F35">
        <w:rPr>
          <w:lang w:eastAsia="da-DK"/>
        </w:rPr>
        <w:t>supplerende foranstaltninger</w:t>
      </w:r>
      <w:r w:rsidR="00FF62BE" w:rsidRPr="00DC4F35">
        <w:rPr>
          <w:lang w:eastAsia="da-DK"/>
        </w:rPr>
        <w:t xml:space="preserve">. </w:t>
      </w:r>
    </w:p>
    <w:p w14:paraId="73471624" w14:textId="77777777" w:rsidR="006D1C13" w:rsidRPr="00DC4F35" w:rsidRDefault="006D1C13" w:rsidP="006D1C13"/>
    <w:p w14:paraId="1AACE346" w14:textId="098994C9" w:rsidR="006D1C13" w:rsidRPr="00DC4F35" w:rsidRDefault="006D1C13" w:rsidP="00223900">
      <w:pPr>
        <w:pStyle w:val="Overskrift2"/>
      </w:pPr>
      <w:bookmarkStart w:id="8" w:name="_Toc170824021"/>
      <w:r w:rsidRPr="00DC4F35">
        <w:t>Samlet konklusion</w:t>
      </w:r>
      <w:bookmarkEnd w:id="8"/>
    </w:p>
    <w:p w14:paraId="1A78CE59" w14:textId="49E7C08C" w:rsidR="00673E00" w:rsidRPr="00DC4F35" w:rsidRDefault="00673E00" w:rsidP="00686F16">
      <w:pPr>
        <w:pStyle w:val="Listeafsnit"/>
        <w:numPr>
          <w:ilvl w:val="0"/>
          <w:numId w:val="32"/>
        </w:numPr>
      </w:pPr>
      <w:r w:rsidRPr="00DC4F35">
        <w:rPr>
          <w:lang w:eastAsia="da-DK"/>
        </w:rPr>
        <w:t xml:space="preserve">På denne baggrund vurderes det samlet, at </w:t>
      </w:r>
      <w:r w:rsidR="00C85B45" w:rsidRPr="00DC4F35">
        <w:rPr>
          <w:lang w:eastAsia="da-DK"/>
        </w:rPr>
        <w:t xml:space="preserve">både </w:t>
      </w:r>
      <w:r w:rsidRPr="00DC4F35">
        <w:rPr>
          <w:lang w:eastAsia="da-DK"/>
        </w:rPr>
        <w:t xml:space="preserve">De Dataansvarliges </w:t>
      </w:r>
      <w:r w:rsidR="00C85B45" w:rsidRPr="00DC4F35">
        <w:rPr>
          <w:lang w:eastAsia="da-DK"/>
        </w:rPr>
        <w:t xml:space="preserve">opbevaring og behandling af personoplysninger i EU samt tilsigtede </w:t>
      </w:r>
      <w:r w:rsidRPr="00DC4F35">
        <w:rPr>
          <w:lang w:eastAsia="da-DK"/>
        </w:rPr>
        <w:t xml:space="preserve">overførsler til tredjelande ved brug af de omhandlede applikationer og cloudtjenester i Microsoft 365 samt eventuelle supportydelser i forbindelse </w:t>
      </w:r>
      <w:r w:rsidR="004C3FFF" w:rsidRPr="00DC4F35">
        <w:rPr>
          <w:lang w:eastAsia="da-DK"/>
        </w:rPr>
        <w:t xml:space="preserve">hermed </w:t>
      </w:r>
      <w:r w:rsidRPr="00DC4F35">
        <w:rPr>
          <w:lang w:eastAsia="da-DK"/>
        </w:rPr>
        <w:t>lovligt kan ske inden</w:t>
      </w:r>
      <w:r w:rsidR="004C3FFF" w:rsidRPr="00DC4F35">
        <w:rPr>
          <w:lang w:eastAsia="da-DK"/>
        </w:rPr>
        <w:t xml:space="preserve"> </w:t>
      </w:r>
      <w:r w:rsidRPr="00DC4F35">
        <w:rPr>
          <w:lang w:eastAsia="da-DK"/>
        </w:rPr>
        <w:t>for rammerne af databeskyttelsesforordningen</w:t>
      </w:r>
      <w:r w:rsidR="00FE50A0" w:rsidRPr="00DC4F35">
        <w:rPr>
          <w:lang w:eastAsia="da-DK"/>
        </w:rPr>
        <w:t>, herunder</w:t>
      </w:r>
      <w:r w:rsidRPr="00DC4F35">
        <w:rPr>
          <w:lang w:eastAsia="da-DK"/>
        </w:rPr>
        <w:t xml:space="preserve"> </w:t>
      </w:r>
      <w:r w:rsidR="00FE50A0" w:rsidRPr="00DC4F35">
        <w:rPr>
          <w:lang w:eastAsia="da-DK"/>
        </w:rPr>
        <w:t xml:space="preserve">artikel 32 om behandlingssikkerhed samt </w:t>
      </w:r>
      <w:r w:rsidRPr="00DC4F35">
        <w:rPr>
          <w:lang w:eastAsia="da-DK"/>
        </w:rPr>
        <w:t>regler</w:t>
      </w:r>
      <w:r w:rsidR="00D0673A" w:rsidRPr="00DC4F35">
        <w:rPr>
          <w:lang w:eastAsia="da-DK"/>
        </w:rPr>
        <w:t>ne</w:t>
      </w:r>
      <w:r w:rsidRPr="00DC4F35">
        <w:rPr>
          <w:lang w:eastAsia="da-DK"/>
        </w:rPr>
        <w:t xml:space="preserve"> om overførsler til tredjelande i forordningens kapitel V. </w:t>
      </w:r>
    </w:p>
    <w:p w14:paraId="1B692A10" w14:textId="77777777" w:rsidR="0007103C" w:rsidRPr="00DC4F35" w:rsidRDefault="0007103C" w:rsidP="0036440D">
      <w:pPr>
        <w:jc w:val="left"/>
        <w:rPr>
          <w:color w:val="FF0000"/>
        </w:rPr>
      </w:pPr>
    </w:p>
    <w:p w14:paraId="0FA7B9DC" w14:textId="1EFED32C" w:rsidR="0036440D" w:rsidRPr="00DC4F35" w:rsidRDefault="0036440D" w:rsidP="0036440D">
      <w:pPr>
        <w:pStyle w:val="Overskrift1"/>
      </w:pPr>
      <w:bookmarkStart w:id="9" w:name="_Toc66959787"/>
      <w:bookmarkStart w:id="10" w:name="_Toc170824022"/>
      <w:r w:rsidRPr="00DC4F35">
        <w:t>Trin 1: Identificer og beskriv overførsle</w:t>
      </w:r>
      <w:bookmarkEnd w:id="9"/>
      <w:r w:rsidR="00E738A5" w:rsidRPr="00DC4F35">
        <w:t>rne</w:t>
      </w:r>
      <w:bookmarkEnd w:id="10"/>
    </w:p>
    <w:p w14:paraId="3091F3CE" w14:textId="4D6DD349" w:rsidR="0036440D" w:rsidRPr="00DC4F35" w:rsidRDefault="00694550" w:rsidP="0036440D">
      <w:pPr>
        <w:pStyle w:val="Overskrift2"/>
      </w:pPr>
      <w:bookmarkStart w:id="11" w:name="_Ref167399861"/>
      <w:bookmarkStart w:id="12" w:name="_Ref167400050"/>
      <w:bookmarkStart w:id="13" w:name="_Toc170824023"/>
      <w:bookmarkStart w:id="14" w:name="_Ref167277947"/>
      <w:bookmarkStart w:id="15" w:name="_Ref167277955"/>
      <w:r w:rsidRPr="00DC4F35">
        <w:t xml:space="preserve">Udgangspunktet om behandling og opbevaring af personoplysninger i EU i medfør af EU Data </w:t>
      </w:r>
      <w:proofErr w:type="spellStart"/>
      <w:r w:rsidRPr="00DC4F35">
        <w:t>Boundary</w:t>
      </w:r>
      <w:proofErr w:type="spellEnd"/>
      <w:r w:rsidRPr="00DC4F35">
        <w:t xml:space="preserve"> og undtagelserne hertil, hvor der sker overførsler til tredjelande</w:t>
      </w:r>
      <w:bookmarkEnd w:id="11"/>
      <w:bookmarkEnd w:id="12"/>
      <w:bookmarkEnd w:id="13"/>
      <w:r w:rsidRPr="00DC4F35">
        <w:t xml:space="preserve"> </w:t>
      </w:r>
      <w:bookmarkEnd w:id="14"/>
      <w:bookmarkEnd w:id="15"/>
    </w:p>
    <w:p w14:paraId="11AADD41" w14:textId="767C5666" w:rsidR="00B96F8A" w:rsidRPr="00DC4F35" w:rsidRDefault="00B96F8A" w:rsidP="00B96F8A">
      <w:pPr>
        <w:rPr>
          <w:lang w:eastAsia="da-DK"/>
        </w:rPr>
      </w:pPr>
      <w:r w:rsidRPr="00DC4F35">
        <w:t>Det fremgår af Microsoft</w:t>
      </w:r>
      <w:r w:rsidR="00AF4E4F" w:rsidRPr="00DC4F35">
        <w:t xml:space="preserve"> Irelands</w:t>
      </w:r>
      <w:r w:rsidRPr="00DC4F35">
        <w:t xml:space="preserve"> databehandleraftale, at Microsoft </w:t>
      </w:r>
      <w:r w:rsidR="00992004" w:rsidRPr="00DC4F35">
        <w:t xml:space="preserve">Ireland </w:t>
      </w:r>
      <w:r w:rsidRPr="00DC4F35">
        <w:t>på vegne af De Dataansvarlige</w:t>
      </w:r>
      <w:r w:rsidRPr="00DC4F35">
        <w:rPr>
          <w:iCs/>
        </w:rPr>
        <w:t xml:space="preserve"> vil overføre personoplysninger til USA samt til en række andre underdatabehandlere i andre tredjelande. Microsoft</w:t>
      </w:r>
      <w:r w:rsidR="00992004" w:rsidRPr="00DC4F35">
        <w:rPr>
          <w:iCs/>
        </w:rPr>
        <w:t xml:space="preserve"> Ireland</w:t>
      </w:r>
      <w:r w:rsidRPr="00DC4F35">
        <w:rPr>
          <w:iCs/>
        </w:rPr>
        <w:t xml:space="preserve"> angiver følgende herom </w:t>
      </w:r>
      <w:r w:rsidRPr="00DC4F35">
        <w:rPr>
          <w:lang w:eastAsia="da-DK"/>
        </w:rPr>
        <w:t xml:space="preserve">i sin </w:t>
      </w:r>
      <w:r w:rsidRPr="00DC4F35">
        <w:rPr>
          <w:iCs/>
        </w:rPr>
        <w:t>databehandleraftale</w:t>
      </w:r>
      <w:r w:rsidRPr="00DC4F35">
        <w:rPr>
          <w:lang w:eastAsia="da-DK"/>
        </w:rPr>
        <w:t xml:space="preserve"> i afsnittet ”</w:t>
      </w:r>
      <w:r w:rsidRPr="00DC4F35">
        <w:rPr>
          <w:i/>
          <w:iCs/>
        </w:rPr>
        <w:t xml:space="preserve">Data </w:t>
      </w:r>
      <w:r w:rsidRPr="00DC4F35">
        <w:rPr>
          <w:i/>
          <w:iCs/>
          <w:lang w:eastAsia="da-DK"/>
        </w:rPr>
        <w:t>Transfers and Location</w:t>
      </w:r>
      <w:r w:rsidRPr="00DC4F35">
        <w:rPr>
          <w:lang w:eastAsia="da-DK"/>
        </w:rPr>
        <w:t xml:space="preserve">”: </w:t>
      </w:r>
    </w:p>
    <w:p w14:paraId="62F6B059" w14:textId="77777777" w:rsidR="00B96F8A" w:rsidRPr="00DC4F35" w:rsidRDefault="00B96F8A" w:rsidP="00B96F8A">
      <w:pPr>
        <w:rPr>
          <w:iCs/>
        </w:rPr>
      </w:pPr>
    </w:p>
    <w:p w14:paraId="2CD826D7" w14:textId="77777777" w:rsidR="00B96F8A" w:rsidRPr="001C19E7" w:rsidRDefault="00B96F8A" w:rsidP="00B96F8A">
      <w:pPr>
        <w:ind w:left="1304"/>
        <w:rPr>
          <w:i/>
          <w:lang w:val="en-US"/>
        </w:rPr>
      </w:pPr>
      <w:r w:rsidRPr="001C19E7">
        <w:rPr>
          <w:i/>
          <w:lang w:val="en-US"/>
        </w:rPr>
        <w:t xml:space="preserve">“[…] Customer appoints Microsoft to transfer Customer Data, Professional Services Data, and Personal Data to the United States or any other country in which Microsoft or its </w:t>
      </w:r>
      <w:proofErr w:type="spellStart"/>
      <w:r w:rsidRPr="001C19E7">
        <w:rPr>
          <w:i/>
          <w:lang w:val="en-US"/>
        </w:rPr>
        <w:t>Subprocessors</w:t>
      </w:r>
      <w:proofErr w:type="spellEnd"/>
      <w:r w:rsidRPr="001C19E7">
        <w:rPr>
          <w:i/>
          <w:lang w:val="en-US"/>
        </w:rPr>
        <w:t xml:space="preserve"> operate and to store and process Customer Data, and Personal Data to provide the Products, except as described elsewhere in the DPA Terms.”</w:t>
      </w:r>
    </w:p>
    <w:p w14:paraId="7B56DE25" w14:textId="77777777" w:rsidR="00B96F8A" w:rsidRPr="001C19E7" w:rsidRDefault="00B96F8A" w:rsidP="00B96F8A">
      <w:pPr>
        <w:rPr>
          <w:iCs/>
          <w:lang w:val="en-US"/>
        </w:rPr>
      </w:pPr>
    </w:p>
    <w:p w14:paraId="4E951BB0" w14:textId="6D876336" w:rsidR="00B96F8A" w:rsidRPr="00DC4F35" w:rsidRDefault="00B96F8A" w:rsidP="00B96F8A">
      <w:r w:rsidRPr="00DC4F35">
        <w:t>Microsoft</w:t>
      </w:r>
      <w:r w:rsidR="001C48D6" w:rsidRPr="00DC4F35">
        <w:t xml:space="preserve"> Irelands</w:t>
      </w:r>
      <w:r w:rsidRPr="00DC4F35">
        <w:t xml:space="preserve"> databehandleraftale indeholder imidlertid herefter følgende undtagelser, der gælder i relation til ”Core Online Services” og ”EU Data </w:t>
      </w:r>
      <w:proofErr w:type="spellStart"/>
      <w:r w:rsidRPr="00DC4F35">
        <w:t>Boundary</w:t>
      </w:r>
      <w:proofErr w:type="spellEnd"/>
      <w:r w:rsidRPr="00DC4F35">
        <w:t xml:space="preserve"> Online Services”: </w:t>
      </w:r>
    </w:p>
    <w:p w14:paraId="49541EA8" w14:textId="77777777" w:rsidR="00B96F8A" w:rsidRPr="00DC4F35" w:rsidRDefault="00B96F8A" w:rsidP="00B96F8A"/>
    <w:p w14:paraId="3B28E634" w14:textId="77777777" w:rsidR="00B96F8A" w:rsidRPr="001C19E7" w:rsidRDefault="00B96F8A" w:rsidP="00B96F8A">
      <w:pPr>
        <w:ind w:left="1304"/>
        <w:rPr>
          <w:i/>
          <w:iCs/>
          <w:lang w:val="en-US"/>
        </w:rPr>
      </w:pPr>
      <w:r w:rsidRPr="001C19E7">
        <w:rPr>
          <w:i/>
          <w:iCs/>
          <w:lang w:val="en-US"/>
        </w:rPr>
        <w:lastRenderedPageBreak/>
        <w:t>“For the Core Online Services, Microsoft will store Customer Data at rest within certain major geographic areas (each, a Geo) as set forth in the Product Terms.</w:t>
      </w:r>
    </w:p>
    <w:p w14:paraId="2B142432" w14:textId="77777777" w:rsidR="00B96F8A" w:rsidRPr="001C19E7" w:rsidRDefault="00B96F8A" w:rsidP="00B96F8A">
      <w:pPr>
        <w:ind w:left="1304"/>
        <w:rPr>
          <w:i/>
          <w:iCs/>
          <w:lang w:val="en-US"/>
        </w:rPr>
      </w:pPr>
    </w:p>
    <w:p w14:paraId="3EBD5AB2" w14:textId="77777777" w:rsidR="00B96F8A" w:rsidRPr="001C19E7" w:rsidRDefault="00B96F8A" w:rsidP="00B96F8A">
      <w:pPr>
        <w:ind w:left="1304"/>
        <w:rPr>
          <w:i/>
          <w:iCs/>
          <w:lang w:val="en-US"/>
        </w:rPr>
      </w:pPr>
      <w:r w:rsidRPr="001C19E7">
        <w:rPr>
          <w:i/>
          <w:iCs/>
          <w:lang w:val="en-US"/>
        </w:rPr>
        <w:t>For EU Data Boundary Online Services, Microsoft will store and process Customer Data and Personal Data within the European Union as set forth in the Product Terms.”</w:t>
      </w:r>
    </w:p>
    <w:p w14:paraId="014D31EA" w14:textId="77777777" w:rsidR="00B96F8A" w:rsidRPr="001C19E7" w:rsidRDefault="00B96F8A" w:rsidP="00B96F8A">
      <w:pPr>
        <w:rPr>
          <w:iCs/>
          <w:lang w:val="en-US"/>
        </w:rPr>
      </w:pPr>
    </w:p>
    <w:p w14:paraId="2C177EE2" w14:textId="2FBD7477" w:rsidR="00B96F8A" w:rsidRPr="00DC4F35" w:rsidRDefault="00B96F8A" w:rsidP="00B96F8A">
      <w:r w:rsidRPr="00DC4F35">
        <w:t>Alle cloudtjenester omfattet af konsekvensanalysen er “Core Online Services”.</w:t>
      </w:r>
      <w:r w:rsidRPr="00DC4F35">
        <w:rPr>
          <w:rStyle w:val="Fodnotehenvisning"/>
        </w:rPr>
        <w:footnoteReference w:id="1"/>
      </w:r>
      <w:r w:rsidR="00332CF2" w:rsidRPr="00DC4F35">
        <w:t xml:space="preserve"> </w:t>
      </w:r>
      <w:r w:rsidRPr="00DC4F35">
        <w:t xml:space="preserve">Alle cloudtjenester omfattet af konsekvensanalysen undtagen Exchange Online </w:t>
      </w:r>
      <w:proofErr w:type="spellStart"/>
      <w:r w:rsidRPr="00DC4F35">
        <w:t>Protection</w:t>
      </w:r>
      <w:proofErr w:type="spellEnd"/>
      <w:r w:rsidRPr="00DC4F35">
        <w:t xml:space="preserve"> er ”EU Data </w:t>
      </w:r>
      <w:proofErr w:type="spellStart"/>
      <w:r w:rsidRPr="00DC4F35">
        <w:t>Boundary</w:t>
      </w:r>
      <w:proofErr w:type="spellEnd"/>
      <w:r w:rsidRPr="00DC4F35">
        <w:t xml:space="preserve"> Online Services”.</w:t>
      </w:r>
      <w:r w:rsidRPr="00DC4F35">
        <w:rPr>
          <w:rStyle w:val="Fodnotehenvisning"/>
        </w:rPr>
        <w:footnoteReference w:id="2"/>
      </w:r>
      <w:r w:rsidR="00332CF2" w:rsidRPr="00DC4F35">
        <w:t xml:space="preserve"> </w:t>
      </w:r>
      <w:r w:rsidRPr="00DC4F35">
        <w:t xml:space="preserve">Desktop applikationerne Word, PowerPoint, Excel, Outlook og Teams app er ikke omfattet af begreberne ”Core Online Services” eller ”EU Data </w:t>
      </w:r>
      <w:proofErr w:type="spellStart"/>
      <w:r w:rsidRPr="00DC4F35">
        <w:t>Boundary</w:t>
      </w:r>
      <w:proofErr w:type="spellEnd"/>
      <w:r w:rsidRPr="00DC4F35">
        <w:t xml:space="preserve"> Online Services” og kan ikke placeres i EU Data </w:t>
      </w:r>
      <w:proofErr w:type="spellStart"/>
      <w:r w:rsidRPr="00DC4F35">
        <w:t>Boundary</w:t>
      </w:r>
      <w:proofErr w:type="spellEnd"/>
      <w:r w:rsidR="004F2627" w:rsidRPr="00DC4F35">
        <w:t>.</w:t>
      </w:r>
      <w:r w:rsidRPr="00DC4F35">
        <w:rPr>
          <w:rStyle w:val="Fodnotehenvisning"/>
        </w:rPr>
        <w:footnoteReference w:id="3"/>
      </w:r>
      <w:r w:rsidRPr="00DC4F35">
        <w:t xml:space="preserve"> </w:t>
      </w:r>
      <w:r w:rsidR="00D30C11" w:rsidRPr="00DC4F35">
        <w:t>Det er dog</w:t>
      </w:r>
      <w:r w:rsidR="00505EE8" w:rsidRPr="00DC4F35">
        <w:t xml:space="preserve"> samtidig</w:t>
      </w:r>
      <w:r w:rsidR="00D30C11" w:rsidRPr="00DC4F35">
        <w:t xml:space="preserve"> til brug for nærværende konsekvensanalyse </w:t>
      </w:r>
      <w:r w:rsidR="009160C5" w:rsidRPr="00DC4F35">
        <w:t>oplyst</w:t>
      </w:r>
      <w:r w:rsidR="00D30C11" w:rsidRPr="00DC4F35">
        <w:t xml:space="preserve"> af Microsoft</w:t>
      </w:r>
      <w:r w:rsidR="009160C5" w:rsidRPr="00DC4F35">
        <w:t xml:space="preserve"> til </w:t>
      </w:r>
      <w:r w:rsidR="004F2627" w:rsidRPr="00DC4F35">
        <w:t>Statens It</w:t>
      </w:r>
      <w:r w:rsidR="009160C5" w:rsidRPr="00DC4F35">
        <w:t xml:space="preserve"> og Ø</w:t>
      </w:r>
      <w:r w:rsidR="004F2627" w:rsidRPr="00DC4F35">
        <w:t>konomistyrelsen</w:t>
      </w:r>
      <w:r w:rsidR="00505EE8" w:rsidRPr="00DC4F35">
        <w:t>, at den</w:t>
      </w:r>
      <w:r w:rsidR="00D30C11" w:rsidRPr="00DC4F35">
        <w:t xml:space="preserve"> i </w:t>
      </w:r>
      <w:r w:rsidR="009042A7" w:rsidRPr="00DC4F35">
        <w:t>”</w:t>
      </w:r>
      <w:r w:rsidR="00DA365D" w:rsidRPr="00DC4F35">
        <w:t xml:space="preserve">business operations </w:t>
      </w:r>
      <w:proofErr w:type="spellStart"/>
      <w:r w:rsidR="00DA365D" w:rsidRPr="00DC4F35">
        <w:t>white</w:t>
      </w:r>
      <w:proofErr w:type="spellEnd"/>
      <w:r w:rsidR="00DA365D" w:rsidRPr="00DC4F35">
        <w:t xml:space="preserve"> </w:t>
      </w:r>
      <w:proofErr w:type="spellStart"/>
      <w:r w:rsidR="00DA365D" w:rsidRPr="00DC4F35">
        <w:t>paper</w:t>
      </w:r>
      <w:proofErr w:type="spellEnd"/>
      <w:r w:rsidR="009042A7" w:rsidRPr="00DC4F35">
        <w:t>”</w:t>
      </w:r>
      <w:r w:rsidR="0062628F" w:rsidRPr="00DC4F35">
        <w:t>,</w:t>
      </w:r>
      <w:r w:rsidR="00DA365D" w:rsidRPr="00DC4F35">
        <w:t xml:space="preserve"> side 9</w:t>
      </w:r>
      <w:r w:rsidR="00D30C11" w:rsidRPr="00DC4F35">
        <w:t xml:space="preserve"> beskrevne </w:t>
      </w:r>
      <w:r w:rsidR="00DA365D" w:rsidRPr="00DC4F35">
        <w:t>”</w:t>
      </w:r>
      <w:r w:rsidR="00D30C11" w:rsidRPr="00DC4F35">
        <w:rPr>
          <w:i/>
          <w:iCs/>
        </w:rPr>
        <w:t>Database Storage</w:t>
      </w:r>
      <w:r w:rsidR="00DA365D" w:rsidRPr="00DC4F35">
        <w:t>”</w:t>
      </w:r>
      <w:r w:rsidR="00505EE8" w:rsidRPr="00DC4F35">
        <w:t xml:space="preserve"> – hvortil </w:t>
      </w:r>
      <w:proofErr w:type="spellStart"/>
      <w:r w:rsidR="00D30C11" w:rsidRPr="00DC4F35">
        <w:t>Diagnostic</w:t>
      </w:r>
      <w:proofErr w:type="spellEnd"/>
      <w:r w:rsidR="00D30C11" w:rsidRPr="00DC4F35">
        <w:t xml:space="preserve"> Data og </w:t>
      </w:r>
      <w:proofErr w:type="spellStart"/>
      <w:r w:rsidR="00D30C11" w:rsidRPr="00DC4F35">
        <w:t>pseudonymiserede</w:t>
      </w:r>
      <w:proofErr w:type="spellEnd"/>
      <w:r w:rsidR="00D30C11" w:rsidRPr="00DC4F35">
        <w:t xml:space="preserve"> System-</w:t>
      </w:r>
      <w:proofErr w:type="spellStart"/>
      <w:r w:rsidR="00D30C11" w:rsidRPr="00DC4F35">
        <w:t>Generated</w:t>
      </w:r>
      <w:proofErr w:type="spellEnd"/>
      <w:r w:rsidR="00D30C11" w:rsidRPr="00DC4F35">
        <w:t xml:space="preserve"> Logs flyttes efter indsamling og generering</w:t>
      </w:r>
      <w:r w:rsidR="00505EE8" w:rsidRPr="00DC4F35">
        <w:t xml:space="preserve"> –</w:t>
      </w:r>
      <w:r w:rsidR="00D30C11" w:rsidRPr="00DC4F35">
        <w:t xml:space="preserve"> er </w:t>
      </w:r>
      <w:r w:rsidR="00FF78A3" w:rsidRPr="00DC4F35">
        <w:t xml:space="preserve">bygget og </w:t>
      </w:r>
      <w:r w:rsidR="00D30C11" w:rsidRPr="00DC4F35">
        <w:t>placeret inden</w:t>
      </w:r>
      <w:r w:rsidR="003055DA" w:rsidRPr="00DC4F35">
        <w:t xml:space="preserve"> </w:t>
      </w:r>
      <w:r w:rsidR="00D30C11" w:rsidRPr="00DC4F35">
        <w:t>for EU/EØS</w:t>
      </w:r>
      <w:r w:rsidR="00FF78A3" w:rsidRPr="00DC4F35">
        <w:t xml:space="preserve"> af hensyn til EU Data </w:t>
      </w:r>
      <w:proofErr w:type="spellStart"/>
      <w:r w:rsidR="00FF78A3" w:rsidRPr="00DC4F35">
        <w:t>Boundary</w:t>
      </w:r>
      <w:proofErr w:type="spellEnd"/>
      <w:r w:rsidR="00FF78A3" w:rsidRPr="00DC4F35">
        <w:t xml:space="preserve"> Services</w:t>
      </w:r>
      <w:r w:rsidR="00D30C11" w:rsidRPr="00DC4F35">
        <w:t xml:space="preserve"> på samme måde som kundens </w:t>
      </w:r>
      <w:proofErr w:type="spellStart"/>
      <w:r w:rsidR="00D30C11" w:rsidRPr="00DC4F35">
        <w:t>tenant</w:t>
      </w:r>
      <w:proofErr w:type="spellEnd"/>
      <w:r w:rsidR="00D30C11" w:rsidRPr="00DC4F35">
        <w:t>.</w:t>
      </w:r>
      <w:r w:rsidR="00FF78A3" w:rsidRPr="00DC4F35">
        <w:t xml:space="preserve"> Efter det oplyste er Microsoft </w:t>
      </w:r>
      <w:r w:rsidR="006665F9" w:rsidRPr="00DC4F35">
        <w:t xml:space="preserve">Ireland </w:t>
      </w:r>
      <w:r w:rsidR="00FF78A3" w:rsidRPr="00DC4F35">
        <w:t xml:space="preserve">opmærksom på, at det på nuværende tidspunkt ikke er </w:t>
      </w:r>
      <w:r w:rsidR="00492B5B" w:rsidRPr="00DC4F35">
        <w:t>beskrevet</w:t>
      </w:r>
      <w:r w:rsidR="00FF78A3" w:rsidRPr="00DC4F35">
        <w:t xml:space="preserve"> i Microsoft</w:t>
      </w:r>
      <w:r w:rsidR="006665F9" w:rsidRPr="00DC4F35">
        <w:t xml:space="preserve"> Irelands</w:t>
      </w:r>
      <w:r w:rsidR="00FF78A3" w:rsidRPr="00DC4F35">
        <w:t xml:space="preserve"> </w:t>
      </w:r>
      <w:r w:rsidR="009042A7" w:rsidRPr="00DC4F35">
        <w:t>”</w:t>
      </w:r>
      <w:r w:rsidR="00FF78A3" w:rsidRPr="00DC4F35">
        <w:t xml:space="preserve">business operations </w:t>
      </w:r>
      <w:proofErr w:type="spellStart"/>
      <w:r w:rsidR="00FF78A3" w:rsidRPr="00DC4F35">
        <w:t>white</w:t>
      </w:r>
      <w:proofErr w:type="spellEnd"/>
      <w:r w:rsidR="00FF78A3" w:rsidRPr="00DC4F35">
        <w:t xml:space="preserve"> </w:t>
      </w:r>
      <w:proofErr w:type="spellStart"/>
      <w:r w:rsidR="00FF78A3" w:rsidRPr="00DC4F35">
        <w:t>pape</w:t>
      </w:r>
      <w:r w:rsidR="00492B5B" w:rsidRPr="00DC4F35">
        <w:t>r</w:t>
      </w:r>
      <w:proofErr w:type="spellEnd"/>
      <w:r w:rsidR="009042A7" w:rsidRPr="00DC4F35">
        <w:t>”</w:t>
      </w:r>
      <w:r w:rsidR="00492B5B" w:rsidRPr="00DC4F35">
        <w:t xml:space="preserve"> eller </w:t>
      </w:r>
      <w:r w:rsidR="009042A7" w:rsidRPr="00DC4F35">
        <w:t xml:space="preserve">vilkårene vedrørende </w:t>
      </w:r>
      <w:r w:rsidR="00492B5B" w:rsidRPr="00DC4F35">
        <w:t xml:space="preserve">EU Data </w:t>
      </w:r>
      <w:proofErr w:type="spellStart"/>
      <w:r w:rsidR="00492B5B" w:rsidRPr="00DC4F35">
        <w:t>Boundary</w:t>
      </w:r>
      <w:proofErr w:type="spellEnd"/>
      <w:r w:rsidR="00FF78A3" w:rsidRPr="00DC4F35">
        <w:t xml:space="preserve">. </w:t>
      </w:r>
      <w:r w:rsidR="00505EE8" w:rsidRPr="00DC4F35">
        <w:t xml:space="preserve">Det </w:t>
      </w:r>
      <w:r w:rsidR="00AC386C" w:rsidRPr="00DC4F35">
        <w:t>er</w:t>
      </w:r>
      <w:r w:rsidR="00505EE8" w:rsidRPr="00DC4F35">
        <w:t xml:space="preserve"> </w:t>
      </w:r>
      <w:r w:rsidR="00AC386C" w:rsidRPr="00DC4F35">
        <w:t>her</w:t>
      </w:r>
      <w:r w:rsidR="00505EE8" w:rsidRPr="00DC4F35">
        <w:t xml:space="preserve">efter </w:t>
      </w:r>
      <w:r w:rsidR="00757355" w:rsidRPr="00DC4F35">
        <w:t xml:space="preserve">Statens </w:t>
      </w:r>
      <w:proofErr w:type="spellStart"/>
      <w:r w:rsidR="00757355" w:rsidRPr="00DC4F35">
        <w:t>It’s</w:t>
      </w:r>
      <w:proofErr w:type="spellEnd"/>
      <w:r w:rsidR="00505EE8" w:rsidRPr="00DC4F35">
        <w:t xml:space="preserve"> og Ø</w:t>
      </w:r>
      <w:r w:rsidR="00757355" w:rsidRPr="00DC4F35">
        <w:t>konomistyrelsens</w:t>
      </w:r>
      <w:r w:rsidR="00505EE8" w:rsidRPr="00DC4F35">
        <w:t xml:space="preserve"> opfattelse, at det i </w:t>
      </w:r>
      <w:r w:rsidR="009042A7" w:rsidRPr="00DC4F35">
        <w:t xml:space="preserve">vilkårene </w:t>
      </w:r>
      <w:r w:rsidR="000F60E6" w:rsidRPr="00DC4F35">
        <w:t xml:space="preserve">anførte </w:t>
      </w:r>
      <w:r w:rsidR="009042A7" w:rsidRPr="00DC4F35">
        <w:t xml:space="preserve">vedrørende </w:t>
      </w:r>
      <w:r w:rsidR="00505EE8" w:rsidRPr="00DC4F35">
        <w:t xml:space="preserve">EU Data </w:t>
      </w:r>
      <w:proofErr w:type="spellStart"/>
      <w:r w:rsidR="00505EE8" w:rsidRPr="00DC4F35">
        <w:t>Boundary</w:t>
      </w:r>
      <w:proofErr w:type="spellEnd"/>
      <w:r w:rsidR="00505EE8" w:rsidRPr="00DC4F35">
        <w:t xml:space="preserve"> må skulle forstås sådan, at data, herunder </w:t>
      </w:r>
      <w:proofErr w:type="spellStart"/>
      <w:r w:rsidR="00505EE8" w:rsidRPr="00DC4F35">
        <w:t>Diagnostic</w:t>
      </w:r>
      <w:proofErr w:type="spellEnd"/>
      <w:r w:rsidR="00505EE8" w:rsidRPr="00DC4F35">
        <w:t xml:space="preserve"> Data, fra </w:t>
      </w:r>
      <w:proofErr w:type="gramStart"/>
      <w:r w:rsidR="00505EE8" w:rsidRPr="00DC4F35">
        <w:t>desktop applikationerne</w:t>
      </w:r>
      <w:proofErr w:type="gramEnd"/>
      <w:r w:rsidR="00505EE8" w:rsidRPr="00DC4F35">
        <w:t xml:space="preserve"> qu</w:t>
      </w:r>
      <w:r w:rsidR="00AC386C" w:rsidRPr="00DC4F35">
        <w:t>a</w:t>
      </w:r>
      <w:r w:rsidR="00505EE8" w:rsidRPr="00DC4F35">
        <w:t xml:space="preserve"> </w:t>
      </w:r>
      <w:r w:rsidR="00AC386C" w:rsidRPr="00DC4F35">
        <w:t>disses</w:t>
      </w:r>
      <w:r w:rsidR="00505EE8" w:rsidRPr="00DC4F35">
        <w:t xml:space="preserve"> funktion</w:t>
      </w:r>
      <w:r w:rsidR="00AC386C" w:rsidRPr="00DC4F35">
        <w:t xml:space="preserve"> (on-</w:t>
      </w:r>
      <w:proofErr w:type="spellStart"/>
      <w:r w:rsidR="00AC386C" w:rsidRPr="00DC4F35">
        <w:t>premise</w:t>
      </w:r>
      <w:proofErr w:type="spellEnd"/>
      <w:r w:rsidR="00AC386C" w:rsidRPr="00DC4F35">
        <w:t>)</w:t>
      </w:r>
      <w:r w:rsidR="00505EE8" w:rsidRPr="00DC4F35">
        <w:t xml:space="preserve"> ikke ligger i cloud/online</w:t>
      </w:r>
      <w:r w:rsidR="009042A7" w:rsidRPr="00DC4F35">
        <w:t>,</w:t>
      </w:r>
      <w:r w:rsidR="00505EE8" w:rsidRPr="00DC4F35">
        <w:t xml:space="preserve"> før data herfra er indsamlet af en online service, hvorefter de omfattes af E</w:t>
      </w:r>
      <w:r w:rsidR="00AC386C" w:rsidRPr="00DC4F35">
        <w:t>U</w:t>
      </w:r>
      <w:r w:rsidR="00505EE8" w:rsidRPr="00DC4F35">
        <w:t xml:space="preserve"> Data </w:t>
      </w:r>
      <w:proofErr w:type="spellStart"/>
      <w:r w:rsidR="00505EE8" w:rsidRPr="00DC4F35">
        <w:t>Boundary</w:t>
      </w:r>
      <w:proofErr w:type="spellEnd"/>
      <w:r w:rsidR="00505EE8" w:rsidRPr="00DC4F35">
        <w:t xml:space="preserve"> Online Services i samme omfang som øvrige cloudtjenester.</w:t>
      </w:r>
      <w:r w:rsidR="00E87E7E">
        <w:t xml:space="preserve"> </w:t>
      </w:r>
      <w:proofErr w:type="spellStart"/>
      <w:r w:rsidR="00E87E7E">
        <w:t>Pseudonymiseringen</w:t>
      </w:r>
      <w:proofErr w:type="spellEnd"/>
      <w:r w:rsidR="00E87E7E">
        <w:t xml:space="preserve"> foregår indenfor EU.</w:t>
      </w:r>
    </w:p>
    <w:p w14:paraId="1C6B6657" w14:textId="77777777" w:rsidR="00B96F8A" w:rsidRPr="00DC4F35" w:rsidRDefault="00B96F8A" w:rsidP="00B96F8A"/>
    <w:p w14:paraId="5F41E0F5" w14:textId="4819DB2F" w:rsidR="00B96F8A" w:rsidRPr="00DC4F35" w:rsidRDefault="00B96F8A" w:rsidP="00B96F8A">
      <w:r w:rsidRPr="00DC4F35">
        <w:t>Endelig er det kun ”Customer Data”</w:t>
      </w:r>
      <w:r w:rsidR="009042A7" w:rsidRPr="00DC4F35">
        <w:t>,</w:t>
      </w:r>
      <w:r w:rsidRPr="00DC4F35">
        <w:t xml:space="preserve"> der er omfattet af </w:t>
      </w:r>
      <w:r w:rsidR="00442B59" w:rsidRPr="00DC4F35">
        <w:t xml:space="preserve">EU Data </w:t>
      </w:r>
      <w:proofErr w:type="spellStart"/>
      <w:r w:rsidR="00442B59" w:rsidRPr="00DC4F35">
        <w:t>Boundary</w:t>
      </w:r>
      <w:proofErr w:type="spellEnd"/>
      <w:r w:rsidR="003055DA" w:rsidRPr="00DC4F35">
        <w:t>,</w:t>
      </w:r>
      <w:r w:rsidRPr="00DC4F35">
        <w:t xml:space="preserve"> og således ikke ”Professional Services Data”, dvs. ikke data, som behandles i forbindelse med Microsofts konsulent- og supportydelser.</w:t>
      </w:r>
      <w:r w:rsidR="00442B59" w:rsidRPr="00DC4F35">
        <w:t xml:space="preserve"> Microsoft forventer dog efter det oplyste at muliggøre dette senere i 2024.</w:t>
      </w:r>
    </w:p>
    <w:p w14:paraId="7D601089" w14:textId="77777777" w:rsidR="00B96F8A" w:rsidRPr="00DC4F35" w:rsidRDefault="00B96F8A" w:rsidP="00B96F8A"/>
    <w:p w14:paraId="6967496F" w14:textId="57951882" w:rsidR="00B96F8A" w:rsidRPr="00DC4F35" w:rsidRDefault="00B96F8A" w:rsidP="00B96F8A">
      <w:r w:rsidRPr="00DC4F35">
        <w:t xml:space="preserve">Det betyder, at data i Microsoft 365 med størst mulig anvendelse af EU Data </w:t>
      </w:r>
      <w:proofErr w:type="spellStart"/>
      <w:r w:rsidRPr="00DC4F35">
        <w:t>Boundary</w:t>
      </w:r>
      <w:proofErr w:type="spellEnd"/>
      <w:r w:rsidRPr="00DC4F35">
        <w:t xml:space="preserve"> services er placeret </w:t>
      </w:r>
      <w:r w:rsidR="003055DA" w:rsidRPr="00DC4F35">
        <w:t xml:space="preserve">på </w:t>
      </w:r>
      <w:r w:rsidRPr="00DC4F35">
        <w:t xml:space="preserve">følgende </w:t>
      </w:r>
      <w:r w:rsidR="00A44833" w:rsidRPr="00DC4F35">
        <w:t>lokationer</w:t>
      </w:r>
      <w:r w:rsidRPr="00DC4F35">
        <w:t xml:space="preserve">: </w:t>
      </w:r>
    </w:p>
    <w:p w14:paraId="1548B80F" w14:textId="77777777" w:rsidR="00A50496" w:rsidRPr="00DC4F35" w:rsidRDefault="00A50496" w:rsidP="00B96F8A"/>
    <w:tbl>
      <w:tblPr>
        <w:tblStyle w:val="Tabel-Gitter"/>
        <w:tblW w:w="0" w:type="auto"/>
        <w:tblLook w:val="04A0" w:firstRow="1" w:lastRow="0" w:firstColumn="1" w:lastColumn="0" w:noHBand="0" w:noVBand="1"/>
      </w:tblPr>
      <w:tblGrid>
        <w:gridCol w:w="2689"/>
        <w:gridCol w:w="3118"/>
        <w:gridCol w:w="3821"/>
      </w:tblGrid>
      <w:tr w:rsidR="00A50496" w:rsidRPr="00DC4F35" w14:paraId="2BE6C451" w14:textId="77777777" w:rsidTr="00C83C91">
        <w:tc>
          <w:tcPr>
            <w:tcW w:w="2689" w:type="dxa"/>
            <w:shd w:val="clear" w:color="auto" w:fill="B8E3F6" w:themeFill="accent3" w:themeFillTint="99"/>
          </w:tcPr>
          <w:p w14:paraId="05620759" w14:textId="77777777" w:rsidR="00A50496" w:rsidRPr="00DC4F35" w:rsidRDefault="00A50496" w:rsidP="00C83C91">
            <w:pPr>
              <w:rPr>
                <w:b/>
                <w:bCs/>
              </w:rPr>
            </w:pPr>
            <w:r w:rsidRPr="00DC4F35">
              <w:rPr>
                <w:b/>
                <w:bCs/>
              </w:rPr>
              <w:t>Tjeneste/applikation</w:t>
            </w:r>
          </w:p>
        </w:tc>
        <w:tc>
          <w:tcPr>
            <w:tcW w:w="3118" w:type="dxa"/>
            <w:shd w:val="clear" w:color="auto" w:fill="B8E3F6" w:themeFill="accent3" w:themeFillTint="99"/>
          </w:tcPr>
          <w:p w14:paraId="1CC0A3F2" w14:textId="77777777" w:rsidR="00A50496" w:rsidRPr="00DC4F35" w:rsidRDefault="00A50496" w:rsidP="00C83C91">
            <w:pPr>
              <w:rPr>
                <w:b/>
                <w:bCs/>
              </w:rPr>
            </w:pPr>
            <w:r w:rsidRPr="00DC4F35">
              <w:rPr>
                <w:b/>
                <w:bCs/>
              </w:rPr>
              <w:t xml:space="preserve">Data type </w:t>
            </w:r>
          </w:p>
        </w:tc>
        <w:tc>
          <w:tcPr>
            <w:tcW w:w="3821" w:type="dxa"/>
            <w:shd w:val="clear" w:color="auto" w:fill="B8E3F6" w:themeFill="accent3" w:themeFillTint="99"/>
          </w:tcPr>
          <w:p w14:paraId="255E40C0" w14:textId="77777777" w:rsidR="00A50496" w:rsidRPr="00DC4F35" w:rsidRDefault="00A50496" w:rsidP="00C83C91">
            <w:pPr>
              <w:rPr>
                <w:b/>
                <w:bCs/>
              </w:rPr>
            </w:pPr>
            <w:r w:rsidRPr="00DC4F35">
              <w:rPr>
                <w:b/>
                <w:bCs/>
              </w:rPr>
              <w:t>Placering</w:t>
            </w:r>
          </w:p>
        </w:tc>
      </w:tr>
      <w:tr w:rsidR="00A50496" w:rsidRPr="00DC4F35" w14:paraId="55745FA9" w14:textId="77777777" w:rsidTr="00BF65C3">
        <w:tc>
          <w:tcPr>
            <w:tcW w:w="2689" w:type="dxa"/>
          </w:tcPr>
          <w:p w14:paraId="4F06249A" w14:textId="77777777" w:rsidR="00A50496" w:rsidRPr="001C19E7" w:rsidRDefault="00A50496" w:rsidP="00BF65C3">
            <w:pPr>
              <w:jc w:val="left"/>
              <w:rPr>
                <w:lang w:val="en-US"/>
              </w:rPr>
            </w:pPr>
            <w:r w:rsidRPr="001C19E7">
              <w:rPr>
                <w:lang w:val="en-US"/>
              </w:rPr>
              <w:t xml:space="preserve">Desktop </w:t>
            </w:r>
            <w:proofErr w:type="spellStart"/>
            <w:r w:rsidRPr="001C19E7">
              <w:rPr>
                <w:lang w:val="en-US"/>
              </w:rPr>
              <w:t>applikationer</w:t>
            </w:r>
            <w:proofErr w:type="spellEnd"/>
            <w:r w:rsidRPr="001C19E7">
              <w:rPr>
                <w:lang w:val="en-US"/>
              </w:rPr>
              <w:t xml:space="preserve"> (Word, </w:t>
            </w:r>
            <w:proofErr w:type="spellStart"/>
            <w:r w:rsidRPr="001C19E7">
              <w:rPr>
                <w:lang w:val="en-US"/>
              </w:rPr>
              <w:t>Powerpoint</w:t>
            </w:r>
            <w:proofErr w:type="spellEnd"/>
            <w:r w:rsidRPr="001C19E7">
              <w:rPr>
                <w:lang w:val="en-US"/>
              </w:rPr>
              <w:t>, Excel, Teams, Outlook)</w:t>
            </w:r>
          </w:p>
        </w:tc>
        <w:tc>
          <w:tcPr>
            <w:tcW w:w="3118" w:type="dxa"/>
          </w:tcPr>
          <w:p w14:paraId="39B7053B" w14:textId="77777777" w:rsidR="00A50496" w:rsidRPr="001C19E7" w:rsidRDefault="00A50496" w:rsidP="00C83C91">
            <w:pPr>
              <w:rPr>
                <w:lang w:val="en-US"/>
              </w:rPr>
            </w:pPr>
            <w:r w:rsidRPr="001C19E7">
              <w:rPr>
                <w:lang w:val="en-US"/>
              </w:rPr>
              <w:t xml:space="preserve">Diagnostic data (Personal Data </w:t>
            </w:r>
            <w:proofErr w:type="spellStart"/>
            <w:r w:rsidRPr="001C19E7">
              <w:rPr>
                <w:lang w:val="en-US"/>
              </w:rPr>
              <w:t>heri</w:t>
            </w:r>
            <w:proofErr w:type="spellEnd"/>
            <w:r w:rsidRPr="001C19E7">
              <w:rPr>
                <w:lang w:val="en-US"/>
              </w:rPr>
              <w:t>)</w:t>
            </w:r>
          </w:p>
        </w:tc>
        <w:tc>
          <w:tcPr>
            <w:tcW w:w="3821" w:type="dxa"/>
          </w:tcPr>
          <w:p w14:paraId="3D5087BE" w14:textId="005A8635" w:rsidR="00A50496" w:rsidRPr="00DC4F35" w:rsidRDefault="00777137" w:rsidP="00C83C91">
            <w:r w:rsidRPr="00DC4F35">
              <w:t xml:space="preserve">”On </w:t>
            </w:r>
            <w:proofErr w:type="spellStart"/>
            <w:r w:rsidRPr="00DC4F35">
              <w:t>premise</w:t>
            </w:r>
            <w:proofErr w:type="spellEnd"/>
            <w:r w:rsidRPr="00DC4F35">
              <w:t>”/lokalt. Efter indsamling heraf placeres de i</w:t>
            </w:r>
            <w:r w:rsidR="00A50496" w:rsidRPr="00DC4F35">
              <w:t xml:space="preserve"> </w:t>
            </w:r>
            <w:r w:rsidRPr="00DC4F35">
              <w:t xml:space="preserve">EU/EØS – i </w:t>
            </w:r>
            <w:r w:rsidR="003A54BB" w:rsidRPr="00DC4F35">
              <w:rPr>
                <w:color w:val="000000"/>
                <w:spacing w:val="4"/>
              </w:rPr>
              <w:t>Microsoft 365</w:t>
            </w:r>
            <w:r w:rsidRPr="00DC4F35">
              <w:t xml:space="preserve"> kaldet ”EU Data </w:t>
            </w:r>
            <w:proofErr w:type="spellStart"/>
            <w:r w:rsidRPr="00DC4F35">
              <w:t>Boundary</w:t>
            </w:r>
            <w:proofErr w:type="spellEnd"/>
            <w:r w:rsidRPr="00DC4F35">
              <w:t xml:space="preserve">” </w:t>
            </w:r>
            <w:r w:rsidRPr="00DC4F35">
              <w:lastRenderedPageBreak/>
              <w:t>med heri indeholdte undtagelser</w:t>
            </w:r>
            <w:r w:rsidR="00D20711" w:rsidRPr="00DC4F35">
              <w:t>,</w:t>
            </w:r>
            <w:r w:rsidR="00D5797F" w:rsidRPr="00DC4F35">
              <w:t xml:space="preserve"> som beskrevet </w:t>
            </w:r>
            <w:r w:rsidR="000F60E6" w:rsidRPr="00DC4F35">
              <w:t>nedenfor</w:t>
            </w:r>
            <w:r w:rsidR="002056CD" w:rsidRPr="00DC4F35">
              <w:t xml:space="preserve"> i afsnit </w:t>
            </w:r>
            <w:r w:rsidR="00DC4F35">
              <w:fldChar w:fldCharType="begin"/>
            </w:r>
            <w:r w:rsidR="00DC4F35">
              <w:instrText xml:space="preserve"> REF _Ref167653908 \r \h </w:instrText>
            </w:r>
            <w:r w:rsidR="00DC4F35">
              <w:fldChar w:fldCharType="separate"/>
            </w:r>
            <w:r w:rsidR="00C05EBE">
              <w:t>3.1.1</w:t>
            </w:r>
            <w:r w:rsidR="00DC4F35">
              <w:fldChar w:fldCharType="end"/>
            </w:r>
            <w:r w:rsidR="007D026B">
              <w:t>.</w:t>
            </w:r>
            <w:r w:rsidRPr="00DC4F35">
              <w:t xml:space="preserve"> </w:t>
            </w:r>
          </w:p>
        </w:tc>
      </w:tr>
      <w:tr w:rsidR="00A50496" w:rsidRPr="00DC4F35" w14:paraId="374FEBDA" w14:textId="77777777" w:rsidTr="00C83C91">
        <w:trPr>
          <w:trHeight w:val="514"/>
        </w:trPr>
        <w:tc>
          <w:tcPr>
            <w:tcW w:w="2689" w:type="dxa"/>
            <w:vMerge w:val="restart"/>
          </w:tcPr>
          <w:p w14:paraId="6C86B5DA" w14:textId="604A91CE" w:rsidR="00A50496" w:rsidRPr="001C19E7" w:rsidRDefault="003A54BB" w:rsidP="00C83C91">
            <w:pPr>
              <w:rPr>
                <w:lang w:val="en-US"/>
              </w:rPr>
            </w:pPr>
            <w:r w:rsidRPr="001C19E7">
              <w:rPr>
                <w:color w:val="000000"/>
                <w:spacing w:val="4"/>
                <w:lang w:val="en-US"/>
              </w:rPr>
              <w:lastRenderedPageBreak/>
              <w:t>Microsoft 365</w:t>
            </w:r>
            <w:r w:rsidR="00A50496" w:rsidRPr="001C19E7">
              <w:rPr>
                <w:lang w:val="en-US"/>
              </w:rPr>
              <w:t xml:space="preserve"> </w:t>
            </w:r>
            <w:proofErr w:type="spellStart"/>
            <w:r w:rsidR="00A50496" w:rsidRPr="001C19E7">
              <w:rPr>
                <w:lang w:val="en-US"/>
              </w:rPr>
              <w:t>Cloudtjenester</w:t>
            </w:r>
            <w:proofErr w:type="spellEnd"/>
            <w:r w:rsidR="00A50496" w:rsidRPr="001C19E7">
              <w:rPr>
                <w:lang w:val="en-US"/>
              </w:rPr>
              <w:t xml:space="preserve"> (Office for the web, </w:t>
            </w:r>
            <w:proofErr w:type="spellStart"/>
            <w:r w:rsidR="00A50496" w:rsidRPr="001C19E7">
              <w:rPr>
                <w:lang w:val="en-US"/>
              </w:rPr>
              <w:t>Onedrive</w:t>
            </w:r>
            <w:proofErr w:type="spellEnd"/>
            <w:r w:rsidR="00A50496" w:rsidRPr="001C19E7">
              <w:rPr>
                <w:lang w:val="en-US"/>
              </w:rPr>
              <w:t xml:space="preserve">, Exchange Online, Exchange Online Archiving, </w:t>
            </w:r>
            <w:proofErr w:type="spellStart"/>
            <w:r w:rsidR="00A50496" w:rsidRPr="001C19E7">
              <w:rPr>
                <w:lang w:val="en-US"/>
              </w:rPr>
              <w:t>Sharepoint</w:t>
            </w:r>
            <w:proofErr w:type="spellEnd"/>
            <w:r w:rsidR="00A50496" w:rsidRPr="001C19E7">
              <w:rPr>
                <w:lang w:val="en-US"/>
              </w:rPr>
              <w:t xml:space="preserve"> og Teams)</w:t>
            </w:r>
          </w:p>
        </w:tc>
        <w:tc>
          <w:tcPr>
            <w:tcW w:w="3118" w:type="dxa"/>
          </w:tcPr>
          <w:p w14:paraId="06FB55C6" w14:textId="77777777" w:rsidR="00A50496" w:rsidRPr="00DC4F35" w:rsidRDefault="00A50496" w:rsidP="00C83C91">
            <w:r w:rsidRPr="00DC4F35">
              <w:t>Customer Data</w:t>
            </w:r>
          </w:p>
        </w:tc>
        <w:tc>
          <w:tcPr>
            <w:tcW w:w="3821" w:type="dxa"/>
          </w:tcPr>
          <w:p w14:paraId="73163DDB" w14:textId="2B7EC88D" w:rsidR="00A50496" w:rsidRPr="00DC4F35" w:rsidRDefault="00A50496" w:rsidP="00C83C91">
            <w:r w:rsidRPr="00DC4F35">
              <w:t xml:space="preserve">EU/EØS – i </w:t>
            </w:r>
            <w:r w:rsidR="003A54BB" w:rsidRPr="00DC4F35">
              <w:rPr>
                <w:color w:val="000000"/>
                <w:spacing w:val="4"/>
              </w:rPr>
              <w:t>Microsoft 365</w:t>
            </w:r>
            <w:r w:rsidRPr="00DC4F35">
              <w:t xml:space="preserve"> kaldet ”EU Data </w:t>
            </w:r>
            <w:proofErr w:type="spellStart"/>
            <w:r w:rsidRPr="00DC4F35">
              <w:t>Boundary</w:t>
            </w:r>
            <w:proofErr w:type="spellEnd"/>
            <w:r w:rsidRPr="00DC4F35">
              <w:t>” med heri indeholdte undtagelser</w:t>
            </w:r>
            <w:r w:rsidR="00D5797F" w:rsidRPr="00DC4F35">
              <w:t xml:space="preserve"> </w:t>
            </w:r>
            <w:r w:rsidR="002056CD" w:rsidRPr="00DC4F35">
              <w:t xml:space="preserve">som beskrevet </w:t>
            </w:r>
            <w:r w:rsidR="00695280" w:rsidRPr="00DC4F35">
              <w:t xml:space="preserve">nedenfor i </w:t>
            </w:r>
            <w:r w:rsidR="002056CD" w:rsidRPr="00DC4F35">
              <w:t xml:space="preserve">afsnit </w:t>
            </w:r>
            <w:r w:rsidR="00DC4F35">
              <w:fldChar w:fldCharType="begin"/>
            </w:r>
            <w:r w:rsidR="00DC4F35">
              <w:instrText xml:space="preserve"> REF _Ref167653908 \r \h </w:instrText>
            </w:r>
            <w:r w:rsidR="00DC4F35">
              <w:fldChar w:fldCharType="separate"/>
            </w:r>
            <w:r w:rsidR="00C05EBE">
              <w:t>3.1.1</w:t>
            </w:r>
            <w:r w:rsidR="00DC4F35">
              <w:fldChar w:fldCharType="end"/>
            </w:r>
            <w:r w:rsidR="007D026B" w:rsidRPr="007D026B">
              <w:t>.</w:t>
            </w:r>
          </w:p>
        </w:tc>
      </w:tr>
      <w:tr w:rsidR="00A50496" w:rsidRPr="00DC4F35" w14:paraId="515D128B" w14:textId="77777777" w:rsidTr="00C83C91">
        <w:trPr>
          <w:trHeight w:val="514"/>
        </w:trPr>
        <w:tc>
          <w:tcPr>
            <w:tcW w:w="2689" w:type="dxa"/>
            <w:vMerge/>
          </w:tcPr>
          <w:p w14:paraId="1017D640" w14:textId="77777777" w:rsidR="00A50496" w:rsidRPr="00DC4F35" w:rsidRDefault="00A50496" w:rsidP="00C83C91"/>
        </w:tc>
        <w:tc>
          <w:tcPr>
            <w:tcW w:w="3118" w:type="dxa"/>
          </w:tcPr>
          <w:p w14:paraId="7D8316BC" w14:textId="77777777" w:rsidR="00A50496" w:rsidRPr="00DC4F35" w:rsidRDefault="00A50496" w:rsidP="00C83C91">
            <w:r w:rsidRPr="00DC4F35">
              <w:t>Professional Services Data</w:t>
            </w:r>
          </w:p>
        </w:tc>
        <w:tc>
          <w:tcPr>
            <w:tcW w:w="3821" w:type="dxa"/>
          </w:tcPr>
          <w:p w14:paraId="290C210F" w14:textId="73F5C851" w:rsidR="00A50496" w:rsidRPr="00DC4F35" w:rsidRDefault="00A50496" w:rsidP="00C83C91">
            <w:r w:rsidRPr="001C19E7">
              <w:rPr>
                <w:lang w:val="en-US"/>
              </w:rPr>
              <w:t xml:space="preserve">United States-based Microsoft datacenters, </w:t>
            </w:r>
            <w:proofErr w:type="spellStart"/>
            <w:r w:rsidRPr="001C19E7">
              <w:rPr>
                <w:lang w:val="en-US"/>
              </w:rPr>
              <w:t>jf</w:t>
            </w:r>
            <w:proofErr w:type="spellEnd"/>
            <w:r w:rsidRPr="001C19E7">
              <w:rPr>
                <w:lang w:val="en-US"/>
              </w:rPr>
              <w:t>.</w:t>
            </w:r>
            <w:r w:rsidR="00D929A3" w:rsidRPr="001C19E7">
              <w:rPr>
                <w:lang w:val="en-US"/>
              </w:rPr>
              <w:t xml:space="preserve"> </w:t>
            </w:r>
            <w:r w:rsidR="00D929A3" w:rsidRPr="00DC4F35">
              <w:t>Den i ”Product Terms” nævnte ”</w:t>
            </w:r>
            <w:proofErr w:type="spellStart"/>
            <w:r w:rsidR="00D929A3" w:rsidRPr="00DC4F35">
              <w:rPr>
                <w:i/>
                <w:iCs/>
              </w:rPr>
              <w:t>transparency</w:t>
            </w:r>
            <w:proofErr w:type="spellEnd"/>
            <w:r w:rsidR="00D929A3" w:rsidRPr="00DC4F35">
              <w:rPr>
                <w:i/>
                <w:iCs/>
              </w:rPr>
              <w:t xml:space="preserve"> </w:t>
            </w:r>
            <w:proofErr w:type="spellStart"/>
            <w:r w:rsidR="00D929A3" w:rsidRPr="00DC4F35">
              <w:rPr>
                <w:i/>
                <w:iCs/>
              </w:rPr>
              <w:t>documentation</w:t>
            </w:r>
            <w:proofErr w:type="spellEnd"/>
            <w:r w:rsidR="00D929A3" w:rsidRPr="00DC4F35">
              <w:rPr>
                <w:i/>
                <w:iCs/>
              </w:rPr>
              <w:t xml:space="preserve"> for the EU Data </w:t>
            </w:r>
            <w:proofErr w:type="spellStart"/>
            <w:r w:rsidR="00D929A3" w:rsidRPr="00DC4F35">
              <w:rPr>
                <w:i/>
                <w:iCs/>
              </w:rPr>
              <w:t>Boundary</w:t>
            </w:r>
            <w:proofErr w:type="spellEnd"/>
            <w:r w:rsidR="00D929A3" w:rsidRPr="00DC4F35">
              <w:t xml:space="preserve">” (herefter ”EU Data </w:t>
            </w:r>
            <w:proofErr w:type="spellStart"/>
            <w:r w:rsidR="00D929A3" w:rsidRPr="00DC4F35">
              <w:t>Boundary</w:t>
            </w:r>
            <w:proofErr w:type="spellEnd"/>
            <w:r w:rsidR="00D929A3" w:rsidRPr="00DC4F35">
              <w:t xml:space="preserve"> dokumentationen”), side 9</w:t>
            </w:r>
            <w:r w:rsidR="00013A7F" w:rsidRPr="00DC4F35">
              <w:t>.</w:t>
            </w:r>
          </w:p>
        </w:tc>
      </w:tr>
      <w:tr w:rsidR="00A50496" w:rsidRPr="00DC4F35" w14:paraId="1424169C" w14:textId="77777777" w:rsidTr="00686F16">
        <w:trPr>
          <w:trHeight w:val="514"/>
        </w:trPr>
        <w:tc>
          <w:tcPr>
            <w:tcW w:w="2689" w:type="dxa"/>
            <w:vMerge/>
            <w:tcBorders>
              <w:bottom w:val="single" w:sz="4" w:space="0" w:color="auto"/>
            </w:tcBorders>
          </w:tcPr>
          <w:p w14:paraId="7A9D2D05" w14:textId="77777777" w:rsidR="00A50496" w:rsidRPr="00DC4F35" w:rsidRDefault="00A50496" w:rsidP="00C83C91"/>
        </w:tc>
        <w:tc>
          <w:tcPr>
            <w:tcW w:w="3118" w:type="dxa"/>
            <w:tcBorders>
              <w:bottom w:val="single" w:sz="4" w:space="0" w:color="auto"/>
            </w:tcBorders>
          </w:tcPr>
          <w:p w14:paraId="7AD50070" w14:textId="77777777" w:rsidR="00A50496" w:rsidRPr="00DC4F35" w:rsidRDefault="00A50496" w:rsidP="00C83C91">
            <w:r w:rsidRPr="00DC4F35">
              <w:t>System-</w:t>
            </w:r>
            <w:proofErr w:type="spellStart"/>
            <w:r w:rsidRPr="00DC4F35">
              <w:t>Generated</w:t>
            </w:r>
            <w:proofErr w:type="spellEnd"/>
            <w:r w:rsidRPr="00DC4F35">
              <w:t xml:space="preserve"> Logs</w:t>
            </w:r>
          </w:p>
        </w:tc>
        <w:tc>
          <w:tcPr>
            <w:tcW w:w="3821" w:type="dxa"/>
            <w:tcBorders>
              <w:bottom w:val="single" w:sz="4" w:space="0" w:color="auto"/>
            </w:tcBorders>
          </w:tcPr>
          <w:p w14:paraId="587ED0FB" w14:textId="7B7FC65E" w:rsidR="00A50496" w:rsidRPr="00DC4F35" w:rsidRDefault="00A50496" w:rsidP="00C83C91">
            <w:r w:rsidRPr="00DC4F35">
              <w:t xml:space="preserve">EU/EØS – i </w:t>
            </w:r>
            <w:r w:rsidR="003A54BB" w:rsidRPr="00DC4F35">
              <w:rPr>
                <w:color w:val="000000"/>
                <w:spacing w:val="4"/>
              </w:rPr>
              <w:t>Microsoft 365</w:t>
            </w:r>
            <w:r w:rsidRPr="00DC4F35">
              <w:t xml:space="preserve"> kaldet ”EU Data </w:t>
            </w:r>
            <w:proofErr w:type="spellStart"/>
            <w:r w:rsidRPr="00DC4F35">
              <w:t>Boundary</w:t>
            </w:r>
            <w:proofErr w:type="spellEnd"/>
            <w:r w:rsidRPr="00DC4F35">
              <w:t>” med heri indeholdte undtagelser</w:t>
            </w:r>
            <w:r w:rsidR="002056CD" w:rsidRPr="00DC4F35">
              <w:t xml:space="preserve"> som beskrevet </w:t>
            </w:r>
            <w:r w:rsidR="004B3CF9" w:rsidRPr="00DC4F35">
              <w:t>nedenfor</w:t>
            </w:r>
            <w:r w:rsidR="002056CD" w:rsidRPr="00DC4F35">
              <w:t xml:space="preserve"> i afsnit </w:t>
            </w:r>
            <w:r w:rsidR="000E0CE7" w:rsidRPr="00DC4F35">
              <w:t>3.1.1.</w:t>
            </w:r>
          </w:p>
        </w:tc>
      </w:tr>
      <w:tr w:rsidR="00A50496" w:rsidRPr="00D87AC5" w14:paraId="67007158" w14:textId="77777777" w:rsidTr="00C83C91">
        <w:tc>
          <w:tcPr>
            <w:tcW w:w="2689" w:type="dxa"/>
            <w:vMerge w:val="restart"/>
          </w:tcPr>
          <w:p w14:paraId="478427F4" w14:textId="77777777" w:rsidR="00A50496" w:rsidRPr="00DC4F35" w:rsidRDefault="00A50496" w:rsidP="00C83C91">
            <w:r w:rsidRPr="00DC4F35">
              <w:t xml:space="preserve">Exchange Online </w:t>
            </w:r>
            <w:proofErr w:type="spellStart"/>
            <w:r w:rsidRPr="00DC4F35">
              <w:t>Protection</w:t>
            </w:r>
            <w:proofErr w:type="spellEnd"/>
          </w:p>
        </w:tc>
        <w:tc>
          <w:tcPr>
            <w:tcW w:w="3118" w:type="dxa"/>
          </w:tcPr>
          <w:p w14:paraId="33FD87D8" w14:textId="77777777" w:rsidR="00A50496" w:rsidRPr="00DC4F35" w:rsidRDefault="00A50496" w:rsidP="00C83C91">
            <w:r w:rsidRPr="00DC4F35">
              <w:t>Customer Data</w:t>
            </w:r>
          </w:p>
        </w:tc>
        <w:tc>
          <w:tcPr>
            <w:tcW w:w="3821" w:type="dxa"/>
          </w:tcPr>
          <w:p w14:paraId="205138E5" w14:textId="77777777" w:rsidR="00A50496" w:rsidRPr="001C19E7" w:rsidRDefault="00A50496" w:rsidP="00C83C91">
            <w:pPr>
              <w:rPr>
                <w:lang w:val="en-US"/>
              </w:rPr>
            </w:pPr>
            <w:r w:rsidRPr="001C19E7">
              <w:rPr>
                <w:lang w:val="en-US"/>
              </w:rPr>
              <w:t xml:space="preserve">“United States or any other country in which Microsoft or its </w:t>
            </w:r>
            <w:proofErr w:type="spellStart"/>
            <w:r w:rsidRPr="001C19E7">
              <w:rPr>
                <w:lang w:val="en-US"/>
              </w:rPr>
              <w:t>Subprocessors</w:t>
            </w:r>
            <w:proofErr w:type="spellEnd"/>
            <w:r w:rsidRPr="001C19E7">
              <w:rPr>
                <w:lang w:val="en-US"/>
              </w:rPr>
              <w:t xml:space="preserve"> operate</w:t>
            </w:r>
            <w:r w:rsidRPr="00DC4F35">
              <w:rPr>
                <w:rStyle w:val="Fodnotehenvisning"/>
              </w:rPr>
              <w:footnoteReference w:id="4"/>
            </w:r>
            <w:r w:rsidRPr="001C19E7">
              <w:rPr>
                <w:lang w:val="en-US"/>
              </w:rPr>
              <w:t>”</w:t>
            </w:r>
          </w:p>
        </w:tc>
      </w:tr>
      <w:tr w:rsidR="00A50496" w:rsidRPr="00DC4F35" w14:paraId="7530F525" w14:textId="77777777" w:rsidTr="00686F16">
        <w:tc>
          <w:tcPr>
            <w:tcW w:w="2689" w:type="dxa"/>
            <w:vMerge/>
            <w:tcBorders>
              <w:bottom w:val="single" w:sz="4" w:space="0" w:color="auto"/>
            </w:tcBorders>
          </w:tcPr>
          <w:p w14:paraId="17093A1A" w14:textId="77777777" w:rsidR="00A50496" w:rsidRPr="001C19E7" w:rsidRDefault="00A50496" w:rsidP="00C83C91">
            <w:pPr>
              <w:rPr>
                <w:lang w:val="en-US"/>
              </w:rPr>
            </w:pPr>
          </w:p>
        </w:tc>
        <w:tc>
          <w:tcPr>
            <w:tcW w:w="3118" w:type="dxa"/>
            <w:tcBorders>
              <w:bottom w:val="single" w:sz="4" w:space="0" w:color="auto"/>
            </w:tcBorders>
          </w:tcPr>
          <w:p w14:paraId="5806B7F5" w14:textId="77777777" w:rsidR="00A50496" w:rsidRPr="00DC4F35" w:rsidRDefault="00A50496" w:rsidP="00C83C91">
            <w:r w:rsidRPr="00DC4F35">
              <w:t>Professional Services Data</w:t>
            </w:r>
          </w:p>
        </w:tc>
        <w:tc>
          <w:tcPr>
            <w:tcW w:w="3821" w:type="dxa"/>
            <w:tcBorders>
              <w:bottom w:val="single" w:sz="4" w:space="0" w:color="auto"/>
            </w:tcBorders>
          </w:tcPr>
          <w:p w14:paraId="14CC1AE8" w14:textId="7B8A325C" w:rsidR="00A50496" w:rsidRPr="00DC4F35" w:rsidRDefault="00A50496" w:rsidP="00C83C91">
            <w:r w:rsidRPr="001C19E7">
              <w:rPr>
                <w:lang w:val="en-US"/>
              </w:rPr>
              <w:t xml:space="preserve">United States-based Microsoft data-centers, </w:t>
            </w:r>
            <w:proofErr w:type="spellStart"/>
            <w:r w:rsidRPr="001C19E7">
              <w:rPr>
                <w:lang w:val="en-US"/>
              </w:rPr>
              <w:t>jf</w:t>
            </w:r>
            <w:proofErr w:type="spellEnd"/>
            <w:r w:rsidRPr="001C19E7">
              <w:rPr>
                <w:lang w:val="en-US"/>
              </w:rPr>
              <w:t xml:space="preserve">. </w:t>
            </w:r>
            <w:r w:rsidR="002056CD" w:rsidRPr="00DC4F35">
              <w:t xml:space="preserve">EU Data </w:t>
            </w:r>
            <w:proofErr w:type="spellStart"/>
            <w:r w:rsidR="002056CD" w:rsidRPr="00DC4F35">
              <w:t>Boundary</w:t>
            </w:r>
            <w:proofErr w:type="spellEnd"/>
            <w:r w:rsidR="002056CD" w:rsidRPr="00DC4F35">
              <w:t xml:space="preserve"> dokumentationen side 9</w:t>
            </w:r>
            <w:r w:rsidR="0015561D" w:rsidRPr="00DC4F35">
              <w:t>.</w:t>
            </w:r>
          </w:p>
        </w:tc>
      </w:tr>
    </w:tbl>
    <w:p w14:paraId="71E0E76C" w14:textId="77777777" w:rsidR="0006233F" w:rsidRPr="00DC4F35" w:rsidRDefault="0006233F" w:rsidP="00B96F8A"/>
    <w:p w14:paraId="7A00DB49" w14:textId="5AF6800E" w:rsidR="00B96F8A" w:rsidRPr="00DC4F35" w:rsidRDefault="00A4610F" w:rsidP="00B96F8A">
      <w:r w:rsidRPr="00DC4F35">
        <w:t xml:space="preserve">Det lægges til grund i konsekvensanalysen, at </w:t>
      </w:r>
      <w:r w:rsidR="00706FEC" w:rsidRPr="00DC4F35">
        <w:t xml:space="preserve">værktøjerne omfattet af konsekvensanalysen </w:t>
      </w:r>
      <w:r w:rsidR="00B96F8A" w:rsidRPr="00DC4F35">
        <w:t xml:space="preserve">konfigureres i videst muligt omfang som EU Data </w:t>
      </w:r>
      <w:proofErr w:type="spellStart"/>
      <w:r w:rsidR="00B96F8A" w:rsidRPr="00DC4F35">
        <w:t>Boundary</w:t>
      </w:r>
      <w:proofErr w:type="spellEnd"/>
      <w:r w:rsidR="00B96F8A" w:rsidRPr="00DC4F35">
        <w:t xml:space="preserve"> Services</w:t>
      </w:r>
      <w:r w:rsidR="002018B0" w:rsidRPr="00DC4F35">
        <w:t xml:space="preserve">. </w:t>
      </w:r>
      <w:r w:rsidR="00B96F8A" w:rsidRPr="00DC4F35">
        <w:t xml:space="preserve">Ældre funktioner, der ikke er aktiveret som default </w:t>
      </w:r>
      <w:r w:rsidR="001B41E9" w:rsidRPr="00DC4F35">
        <w:t>(</w:t>
      </w:r>
      <w:r w:rsidR="00B96F8A" w:rsidRPr="00DC4F35">
        <w:t>features i værktøjerne</w:t>
      </w:r>
      <w:r w:rsidR="001B41E9" w:rsidRPr="00DC4F35">
        <w:t>)</w:t>
      </w:r>
      <w:r w:rsidR="00B96F8A" w:rsidRPr="00DC4F35">
        <w:t xml:space="preserve">, og som medfører, at der behandles data uden for EU Data </w:t>
      </w:r>
      <w:proofErr w:type="spellStart"/>
      <w:r w:rsidR="00B96F8A" w:rsidRPr="00DC4F35">
        <w:t>Boundary</w:t>
      </w:r>
      <w:proofErr w:type="spellEnd"/>
      <w:r w:rsidR="00B96F8A" w:rsidRPr="00DC4F35">
        <w:t xml:space="preserve"> i videre omfang, end det fremgår af afsnit</w:t>
      </w:r>
      <w:r w:rsidR="002018B0" w:rsidRPr="00DC4F35">
        <w:t xml:space="preserve"> 3.1.1</w:t>
      </w:r>
      <w:r w:rsidR="00B96F8A" w:rsidRPr="00DC4F35">
        <w:t xml:space="preserve">, vil ikke blive aktiveret på </w:t>
      </w:r>
      <w:r w:rsidR="00025014" w:rsidRPr="00DC4F35">
        <w:t xml:space="preserve">Statens </w:t>
      </w:r>
      <w:proofErr w:type="spellStart"/>
      <w:r w:rsidR="00025014" w:rsidRPr="00DC4F35">
        <w:t>It’s</w:t>
      </w:r>
      <w:proofErr w:type="spellEnd"/>
      <w:r w:rsidR="00B96F8A" w:rsidRPr="00DC4F35">
        <w:t xml:space="preserve"> </w:t>
      </w:r>
      <w:proofErr w:type="spellStart"/>
      <w:r w:rsidR="00B96F8A" w:rsidRPr="00DC4F35">
        <w:t>tenant</w:t>
      </w:r>
      <w:proofErr w:type="spellEnd"/>
      <w:r w:rsidR="00B96F8A" w:rsidRPr="00DC4F35">
        <w:t>, f.eks. featuren ”Research</w:t>
      </w:r>
      <w:r w:rsidR="00025014" w:rsidRPr="00DC4F35">
        <w:t>”</w:t>
      </w:r>
      <w:r w:rsidR="00B96F8A" w:rsidRPr="00DC4F35">
        <w:rPr>
          <w:rStyle w:val="Fodnotehenvisning"/>
        </w:rPr>
        <w:footnoteReference w:id="5"/>
      </w:r>
      <w:r w:rsidR="00B96F8A" w:rsidRPr="00DC4F35">
        <w:t xml:space="preserve"> i Word, Excel, og PowerPoint. Det samme gælder for funktionen ”Shared Tunnel Invitations</w:t>
      </w:r>
      <w:r w:rsidR="00025014" w:rsidRPr="00DC4F35">
        <w:t>”</w:t>
      </w:r>
      <w:r w:rsidR="00B96F8A" w:rsidRPr="00DC4F35">
        <w:rPr>
          <w:rStyle w:val="Fodnotehenvisning"/>
        </w:rPr>
        <w:footnoteReference w:id="6"/>
      </w:r>
      <w:r w:rsidR="00B96F8A" w:rsidRPr="00DC4F35">
        <w:t xml:space="preserve"> i Teams som følge af konfiguration af et ”cross-</w:t>
      </w:r>
      <w:proofErr w:type="spellStart"/>
      <w:r w:rsidR="00B96F8A" w:rsidRPr="00DC4F35">
        <w:t>tenant</w:t>
      </w:r>
      <w:proofErr w:type="spellEnd"/>
      <w:r w:rsidR="00B96F8A" w:rsidRPr="00DC4F35">
        <w:t xml:space="preserve"> </w:t>
      </w:r>
      <w:proofErr w:type="spellStart"/>
      <w:r w:rsidR="00B96F8A" w:rsidRPr="00DC4F35">
        <w:t>relationship</w:t>
      </w:r>
      <w:proofErr w:type="spellEnd"/>
      <w:r w:rsidR="00B96F8A" w:rsidRPr="00DC4F35">
        <w:t xml:space="preserve">”, </w:t>
      </w:r>
      <w:proofErr w:type="spellStart"/>
      <w:r w:rsidR="00B96F8A" w:rsidRPr="00DC4F35">
        <w:t>Azure</w:t>
      </w:r>
      <w:proofErr w:type="spellEnd"/>
      <w:r w:rsidR="00B96F8A" w:rsidRPr="00DC4F35">
        <w:t xml:space="preserve"> </w:t>
      </w:r>
      <w:proofErr w:type="spellStart"/>
      <w:r w:rsidR="00B96F8A" w:rsidRPr="00DC4F35">
        <w:t>Bot</w:t>
      </w:r>
      <w:proofErr w:type="spellEnd"/>
      <w:r w:rsidR="00B96F8A" w:rsidRPr="00DC4F35">
        <w:t xml:space="preserve"> Services i Teams App.   </w:t>
      </w:r>
    </w:p>
    <w:p w14:paraId="0DE974B6" w14:textId="77777777" w:rsidR="00B96F8A" w:rsidRPr="00DC4F35" w:rsidRDefault="00B96F8A" w:rsidP="00B96F8A"/>
    <w:p w14:paraId="502F20E4" w14:textId="200B37BD" w:rsidR="00B96F8A" w:rsidRPr="00DC4F35" w:rsidRDefault="00B96F8A" w:rsidP="00B96F8A">
      <w:r w:rsidRPr="00DC4F35">
        <w:t xml:space="preserve">Om EU Data </w:t>
      </w:r>
      <w:proofErr w:type="spellStart"/>
      <w:r w:rsidRPr="00DC4F35">
        <w:t>Boundary</w:t>
      </w:r>
      <w:proofErr w:type="spellEnd"/>
      <w:r w:rsidRPr="00DC4F35">
        <w:t xml:space="preserve"> Services fremgår</w:t>
      </w:r>
      <w:r w:rsidR="00C91FB5" w:rsidRPr="00DC4F35">
        <w:t xml:space="preserve"> følgende</w:t>
      </w:r>
      <w:r w:rsidRPr="00DC4F35">
        <w:t xml:space="preserve"> af Microsoft Product Terms</w:t>
      </w:r>
      <w:r w:rsidRPr="00DC4F35">
        <w:rPr>
          <w:rStyle w:val="Fodnotehenvisning"/>
        </w:rPr>
        <w:footnoteReference w:id="7"/>
      </w:r>
      <w:r w:rsidRPr="00DC4F35">
        <w:t xml:space="preserve">: </w:t>
      </w:r>
    </w:p>
    <w:p w14:paraId="3B0D9C33" w14:textId="77777777" w:rsidR="00B96F8A" w:rsidRPr="00DC4F35" w:rsidRDefault="00B96F8A" w:rsidP="00B96F8A"/>
    <w:p w14:paraId="142E3469" w14:textId="77777777" w:rsidR="00B96F8A" w:rsidRPr="001C19E7" w:rsidRDefault="00B96F8A" w:rsidP="00A556F1">
      <w:pPr>
        <w:ind w:left="1276"/>
        <w:rPr>
          <w:b/>
          <w:bCs/>
          <w:i/>
          <w:iCs/>
          <w:lang w:val="en-US"/>
        </w:rPr>
      </w:pPr>
      <w:r w:rsidRPr="001C19E7">
        <w:rPr>
          <w:i/>
          <w:iCs/>
          <w:lang w:val="en-US"/>
        </w:rPr>
        <w:t>“</w:t>
      </w:r>
      <w:r w:rsidRPr="001C19E7">
        <w:rPr>
          <w:b/>
          <w:bCs/>
          <w:i/>
          <w:iCs/>
          <w:lang w:val="en-US"/>
        </w:rPr>
        <w:t>Location of Customer Data for EU Data Boundary Services</w:t>
      </w:r>
    </w:p>
    <w:p w14:paraId="4B9D587D" w14:textId="77777777" w:rsidR="00B96F8A" w:rsidRPr="001C19E7" w:rsidRDefault="00B96F8A" w:rsidP="00A556F1">
      <w:pPr>
        <w:ind w:left="1276"/>
        <w:rPr>
          <w:i/>
          <w:iCs/>
          <w:lang w:val="en-US"/>
        </w:rPr>
      </w:pPr>
      <w:r w:rsidRPr="001C19E7">
        <w:rPr>
          <w:i/>
          <w:iCs/>
          <w:lang w:val="en-US"/>
        </w:rPr>
        <w:t>For EU Data Boundary Services, Microsoft will store and process Customer Data and Personal Data within the EU Data Boundary as detailed below.</w:t>
      </w:r>
    </w:p>
    <w:p w14:paraId="6E58A406" w14:textId="77777777" w:rsidR="00B96F8A" w:rsidRPr="001C19E7" w:rsidRDefault="00B96F8A" w:rsidP="00A556F1">
      <w:pPr>
        <w:ind w:left="1276"/>
        <w:rPr>
          <w:i/>
          <w:iCs/>
          <w:lang w:val="en-US"/>
        </w:rPr>
      </w:pPr>
    </w:p>
    <w:p w14:paraId="59997A9B" w14:textId="77777777" w:rsidR="00B96F8A" w:rsidRPr="001C19E7" w:rsidRDefault="00B96F8A" w:rsidP="00A556F1">
      <w:pPr>
        <w:ind w:left="1276"/>
        <w:rPr>
          <w:i/>
          <w:iCs/>
          <w:lang w:val="en-US"/>
        </w:rPr>
      </w:pPr>
      <w:r w:rsidRPr="001C19E7">
        <w:rPr>
          <w:i/>
          <w:iCs/>
          <w:lang w:val="en-US"/>
        </w:rPr>
        <w:t>Customer must configure EU Data Boundary Services as follows:</w:t>
      </w:r>
    </w:p>
    <w:p w14:paraId="5AE1B175" w14:textId="77777777" w:rsidR="00135154" w:rsidRPr="001C19E7" w:rsidRDefault="00135154" w:rsidP="00A556F1">
      <w:pPr>
        <w:ind w:left="1276"/>
        <w:rPr>
          <w:i/>
          <w:iCs/>
          <w:lang w:val="en-US"/>
        </w:rPr>
      </w:pPr>
    </w:p>
    <w:p w14:paraId="70017308" w14:textId="591CD74E" w:rsidR="00B96F8A" w:rsidRPr="001C19E7" w:rsidRDefault="00135154" w:rsidP="00A556F1">
      <w:pPr>
        <w:ind w:left="1276"/>
        <w:rPr>
          <w:i/>
          <w:iCs/>
          <w:lang w:val="en-US"/>
        </w:rPr>
      </w:pPr>
      <w:r w:rsidRPr="001C19E7">
        <w:rPr>
          <w:i/>
          <w:iCs/>
          <w:lang w:val="en-US"/>
        </w:rPr>
        <w:t>[</w:t>
      </w:r>
      <w:r w:rsidR="00B96F8A" w:rsidRPr="001C19E7">
        <w:rPr>
          <w:i/>
          <w:iCs/>
          <w:lang w:val="en-US"/>
        </w:rPr>
        <w:t>…</w:t>
      </w:r>
      <w:r w:rsidRPr="001C19E7">
        <w:rPr>
          <w:i/>
          <w:iCs/>
          <w:lang w:val="en-US"/>
        </w:rPr>
        <w:t>]</w:t>
      </w:r>
    </w:p>
    <w:p w14:paraId="02A6FB3D" w14:textId="77777777" w:rsidR="00B96F8A" w:rsidRPr="001C19E7" w:rsidRDefault="00B96F8A" w:rsidP="00A556F1">
      <w:pPr>
        <w:ind w:left="1276"/>
        <w:rPr>
          <w:i/>
          <w:iCs/>
          <w:lang w:val="en-US"/>
        </w:rPr>
      </w:pPr>
    </w:p>
    <w:p w14:paraId="59EF9BF9" w14:textId="15828ED4" w:rsidR="00B96F8A" w:rsidRPr="001C19E7" w:rsidRDefault="00B96F8A" w:rsidP="00A556F1">
      <w:pPr>
        <w:ind w:left="1276"/>
        <w:rPr>
          <w:i/>
          <w:iCs/>
          <w:lang w:val="en-US"/>
        </w:rPr>
      </w:pPr>
      <w:r w:rsidRPr="001C19E7">
        <w:rPr>
          <w:i/>
          <w:iCs/>
          <w:lang w:val="en-US"/>
        </w:rPr>
        <w:t>For Microsoft 365, if Customer provisions a tenant in the EU or EFTA, that tenant will be in-scope for the EU Data Boundary, except for those tenants where Customer has also purchased the Microsoft 365 Multi-Geo Capabilities add-on that enables customers to expand Microsoft 365 tenant presence to multiple geographic regions or countries (</w:t>
      </w:r>
      <w:r w:rsidRPr="00D87AC5">
        <w:rPr>
          <w:i/>
          <w:iCs/>
          <w:lang w:val="en-US"/>
        </w:rPr>
        <w:t>https://learn.microsoft.com/microsoft-365/enterprise/microsoft-365-multi-geo?view=o365-worldwide)</w:t>
      </w:r>
      <w:r w:rsidRPr="001C19E7">
        <w:rPr>
          <w:i/>
          <w:iCs/>
          <w:lang w:val="en-US"/>
        </w:rPr>
        <w:t>.”</w:t>
      </w:r>
    </w:p>
    <w:p w14:paraId="583F7ACB" w14:textId="77777777" w:rsidR="00B96F8A" w:rsidRPr="001C19E7" w:rsidRDefault="00B96F8A" w:rsidP="00B96F8A">
      <w:pPr>
        <w:rPr>
          <w:iCs/>
          <w:lang w:val="en-US"/>
        </w:rPr>
      </w:pPr>
    </w:p>
    <w:p w14:paraId="71C83E23" w14:textId="143AAC18" w:rsidR="00B96F8A" w:rsidRPr="00DC4F35" w:rsidRDefault="00B96F8A" w:rsidP="00135154">
      <w:r w:rsidRPr="00DC4F35">
        <w:rPr>
          <w:iCs/>
        </w:rPr>
        <w:t>Ovenstående medfører således</w:t>
      </w:r>
      <w:r w:rsidR="001B41E9" w:rsidRPr="00DC4F35">
        <w:rPr>
          <w:iCs/>
        </w:rPr>
        <w:t>,</w:t>
      </w:r>
      <w:r w:rsidRPr="00DC4F35">
        <w:rPr>
          <w:iCs/>
        </w:rPr>
        <w:t xml:space="preserve"> at </w:t>
      </w:r>
      <w:r w:rsidR="00135154" w:rsidRPr="00DC4F35">
        <w:rPr>
          <w:iCs/>
        </w:rPr>
        <w:t xml:space="preserve">Statens </w:t>
      </w:r>
      <w:proofErr w:type="spellStart"/>
      <w:r w:rsidR="00135154" w:rsidRPr="00DC4F35">
        <w:rPr>
          <w:iCs/>
        </w:rPr>
        <w:t>It’s</w:t>
      </w:r>
      <w:proofErr w:type="spellEnd"/>
      <w:r w:rsidRPr="00DC4F35">
        <w:rPr>
          <w:iCs/>
        </w:rPr>
        <w:t xml:space="preserve"> </w:t>
      </w:r>
      <w:proofErr w:type="spellStart"/>
      <w:r w:rsidRPr="00DC4F35">
        <w:rPr>
          <w:iCs/>
        </w:rPr>
        <w:t>tenant</w:t>
      </w:r>
      <w:proofErr w:type="spellEnd"/>
      <w:r w:rsidRPr="00DC4F35">
        <w:rPr>
          <w:iCs/>
        </w:rPr>
        <w:t xml:space="preserve"> er omfattet af EU Data </w:t>
      </w:r>
      <w:proofErr w:type="spellStart"/>
      <w:r w:rsidRPr="00DC4F35">
        <w:rPr>
          <w:iCs/>
        </w:rPr>
        <w:t>Boundary</w:t>
      </w:r>
      <w:proofErr w:type="spellEnd"/>
      <w:r w:rsidRPr="00DC4F35">
        <w:rPr>
          <w:iCs/>
        </w:rPr>
        <w:t>. Som det også fremgår</w:t>
      </w:r>
      <w:r w:rsidR="00E00FF8" w:rsidRPr="00DC4F35">
        <w:rPr>
          <w:iCs/>
        </w:rPr>
        <w:t>,</w:t>
      </w:r>
      <w:r w:rsidR="005A1500" w:rsidRPr="00DC4F35">
        <w:rPr>
          <w:iCs/>
        </w:rPr>
        <w:t xml:space="preserve"> er Professional Services på nuværende tidspunkt dog undtaget. Hertil kommer, at der gælder en række undtagelser til EU Data </w:t>
      </w:r>
      <w:proofErr w:type="spellStart"/>
      <w:r w:rsidR="005A1500" w:rsidRPr="00DC4F35">
        <w:rPr>
          <w:iCs/>
        </w:rPr>
        <w:t>Boundary</w:t>
      </w:r>
      <w:proofErr w:type="spellEnd"/>
      <w:r w:rsidR="005A1500" w:rsidRPr="00DC4F35">
        <w:rPr>
          <w:iCs/>
        </w:rPr>
        <w:t xml:space="preserve">, </w:t>
      </w:r>
      <w:r w:rsidRPr="00DC4F35">
        <w:rPr>
          <w:iCs/>
        </w:rPr>
        <w:t xml:space="preserve">hvorefter der alligevel </w:t>
      </w:r>
      <w:r w:rsidR="005A1500" w:rsidRPr="00DC4F35">
        <w:rPr>
          <w:iCs/>
        </w:rPr>
        <w:t>kan</w:t>
      </w:r>
      <w:r w:rsidRPr="00DC4F35">
        <w:rPr>
          <w:iCs/>
        </w:rPr>
        <w:t xml:space="preserve"> ske en overførsel af personoplysninger til modtagere i tredjelande</w:t>
      </w:r>
      <w:r w:rsidR="00135154" w:rsidRPr="00DC4F35">
        <w:rPr>
          <w:iCs/>
        </w:rPr>
        <w:t xml:space="preserve"> i tilfælde, hvor der sker o</w:t>
      </w:r>
      <w:r w:rsidRPr="00DC4F35">
        <w:t xml:space="preserve">verladelse </w:t>
      </w:r>
      <w:r w:rsidR="00135154" w:rsidRPr="00DC4F35">
        <w:t xml:space="preserve">af personoplysninger </w:t>
      </w:r>
      <w:r w:rsidRPr="00DC4F35">
        <w:t>til underdatabehandlere i forbindelse med levering af applikationer og cloudtjenester</w:t>
      </w:r>
      <w:r w:rsidR="006F51A1" w:rsidRPr="00DC4F35">
        <w:t xml:space="preserve"> i tilfælde</w:t>
      </w:r>
      <w:r w:rsidR="0073727D" w:rsidRPr="00DC4F35">
        <w:t>,</w:t>
      </w:r>
      <w:r w:rsidR="006F51A1" w:rsidRPr="00DC4F35">
        <w:t xml:space="preserve"> der enten ikke er omfattet af EU Dat</w:t>
      </w:r>
      <w:r w:rsidR="00391EC2" w:rsidRPr="00DC4F35">
        <w:t>a</w:t>
      </w:r>
      <w:r w:rsidR="006F51A1" w:rsidRPr="00DC4F35">
        <w:t xml:space="preserve"> </w:t>
      </w:r>
      <w:proofErr w:type="spellStart"/>
      <w:r w:rsidR="006F51A1" w:rsidRPr="00DC4F35">
        <w:t>Boundary</w:t>
      </w:r>
      <w:proofErr w:type="spellEnd"/>
      <w:r w:rsidR="006F51A1" w:rsidRPr="00DC4F35">
        <w:t xml:space="preserve"> Services eller en undtagelse hertil</w:t>
      </w:r>
      <w:r w:rsidRPr="00DC4F35">
        <w:t>, herunder særligt ved sikkerhedshændelser samt i forbindelse med support</w:t>
      </w:r>
      <w:r w:rsidR="00BE2186" w:rsidRPr="00DC4F35">
        <w:t xml:space="preserve"> (Professional Services)</w:t>
      </w:r>
      <w:r w:rsidRPr="00DC4F35">
        <w:t>.</w:t>
      </w:r>
    </w:p>
    <w:p w14:paraId="12D84A92" w14:textId="77777777" w:rsidR="00B96F8A" w:rsidRPr="00DC4F35" w:rsidRDefault="00B96F8A" w:rsidP="00B96F8A"/>
    <w:p w14:paraId="2DB3C5C8" w14:textId="64B75794" w:rsidR="00694550" w:rsidRPr="00DC4F35" w:rsidRDefault="00A75FA4" w:rsidP="00B96F8A">
      <w:r w:rsidRPr="00DC4F35">
        <w:t>Konsulentydelser</w:t>
      </w:r>
      <w:r w:rsidR="00E00FF8" w:rsidRPr="00DC4F35">
        <w:t>,</w:t>
      </w:r>
      <w:r w:rsidRPr="00DC4F35">
        <w:t xml:space="preserve"> som også er omfattet af Microsofts Professional Services</w:t>
      </w:r>
      <w:r w:rsidR="00E00FF8" w:rsidRPr="00DC4F35">
        <w:t>,</w:t>
      </w:r>
      <w:r w:rsidRPr="00DC4F35">
        <w:t xml:space="preserve"> vil ikke blive anvendt af De Dataansvarlige og indgår derfor ikke i nærværende TIA.</w:t>
      </w:r>
    </w:p>
    <w:p w14:paraId="68E5B8DB" w14:textId="77777777" w:rsidR="00A42D88" w:rsidRPr="00DC4F35" w:rsidRDefault="00A42D88" w:rsidP="00B96F8A"/>
    <w:p w14:paraId="35F2800C" w14:textId="6BD62808" w:rsidR="00A42D88" w:rsidRPr="00DC4F35" w:rsidRDefault="00A42D88" w:rsidP="00B96F8A">
      <w:r w:rsidRPr="00DC4F35">
        <w:t xml:space="preserve">Der kan herefter forekomme overførsler til tredjelande i to grundlæggende situationer: </w:t>
      </w:r>
    </w:p>
    <w:p w14:paraId="65BA86FE" w14:textId="77777777" w:rsidR="00A42D88" w:rsidRPr="00DC4F35" w:rsidRDefault="00A42D88" w:rsidP="00B96F8A"/>
    <w:p w14:paraId="1E422D72" w14:textId="05AACAE6" w:rsidR="00A42D88" w:rsidRPr="00DC4F35" w:rsidRDefault="00E44753" w:rsidP="00E44753">
      <w:pPr>
        <w:pStyle w:val="Listeafsnit"/>
        <w:numPr>
          <w:ilvl w:val="0"/>
          <w:numId w:val="60"/>
        </w:numPr>
      </w:pPr>
      <w:r w:rsidRPr="00DC4F35">
        <w:t>Tilsigtede overførsler til underdatabehandlere uden</w:t>
      </w:r>
      <w:r w:rsidR="00375A31" w:rsidRPr="00DC4F35">
        <w:t xml:space="preserve"> </w:t>
      </w:r>
      <w:r w:rsidRPr="00DC4F35">
        <w:t>for EU/EØS, hvor der sker overladelse til underdatabehandlere i tredjelande i forbindelse med levering af applikationer og cloudtjenester</w:t>
      </w:r>
      <w:r w:rsidR="00714AD2" w:rsidRPr="00DC4F35">
        <w:t xml:space="preserve"> (undtagelser til EU Data </w:t>
      </w:r>
      <w:proofErr w:type="spellStart"/>
      <w:r w:rsidR="00714AD2" w:rsidRPr="00DC4F35">
        <w:t>Boundary</w:t>
      </w:r>
      <w:proofErr w:type="spellEnd"/>
      <w:r w:rsidR="00714AD2" w:rsidRPr="00DC4F35">
        <w:t>)</w:t>
      </w:r>
      <w:r w:rsidRPr="00DC4F35">
        <w:t>, samt</w:t>
      </w:r>
    </w:p>
    <w:p w14:paraId="0347C9AE" w14:textId="5998DDF1" w:rsidR="00E44753" w:rsidRPr="00DC4F35" w:rsidRDefault="00E44753" w:rsidP="00E44753">
      <w:pPr>
        <w:pStyle w:val="Listeafsnit"/>
        <w:numPr>
          <w:ilvl w:val="0"/>
          <w:numId w:val="60"/>
        </w:numPr>
      </w:pPr>
      <w:r w:rsidRPr="00DC4F35">
        <w:t xml:space="preserve">Overførsler til tredjelande i forbindelse med udleveringsanmodninger </w:t>
      </w:r>
      <w:r w:rsidR="0036387E" w:rsidRPr="00DC4F35">
        <w:t xml:space="preserve">i henhold til tredjelands ret for personoplysninger, der behandles og opbevares i EU i henhold til EU Data </w:t>
      </w:r>
      <w:proofErr w:type="spellStart"/>
      <w:r w:rsidR="0036387E" w:rsidRPr="00DC4F35">
        <w:t>Boundary</w:t>
      </w:r>
      <w:proofErr w:type="spellEnd"/>
      <w:r w:rsidR="0036387E" w:rsidRPr="00DC4F35">
        <w:t>.</w:t>
      </w:r>
    </w:p>
    <w:p w14:paraId="756745D3" w14:textId="77777777" w:rsidR="00E00FF8" w:rsidRPr="00DC4F35" w:rsidRDefault="00E00FF8" w:rsidP="00B96F8A"/>
    <w:p w14:paraId="41F5DF23" w14:textId="5F9561C2" w:rsidR="00247D38" w:rsidRPr="00DC4F35" w:rsidRDefault="00247D38" w:rsidP="00B96F8A">
      <w:r w:rsidRPr="00DC4F35">
        <w:t>De to situationer behandles i det følgende efter tur.</w:t>
      </w:r>
    </w:p>
    <w:p w14:paraId="516F82B2" w14:textId="77777777" w:rsidR="00247D38" w:rsidRPr="00DC4F35" w:rsidRDefault="00247D38" w:rsidP="00B96F8A"/>
    <w:p w14:paraId="278B20B7" w14:textId="2814C8B1" w:rsidR="00DC0285" w:rsidRPr="00DC4F35" w:rsidRDefault="00586A9A" w:rsidP="00586A9A">
      <w:pPr>
        <w:pStyle w:val="Overskrift3"/>
      </w:pPr>
      <w:bookmarkStart w:id="16" w:name="_Ref167653908"/>
      <w:bookmarkStart w:id="17" w:name="_Toc170824024"/>
      <w:r w:rsidRPr="00DC4F35">
        <w:lastRenderedPageBreak/>
        <w:t>Tilsigtede overførsler til underdatabehandlere uden</w:t>
      </w:r>
      <w:r w:rsidR="00164FCA" w:rsidRPr="00DC4F35">
        <w:t xml:space="preserve"> </w:t>
      </w:r>
      <w:r w:rsidRPr="00DC4F35">
        <w:t xml:space="preserve">for EU/EØS, hvor der sker overladelse til underdatabehandlere i tredjelande i forbindelse med levering af applikationer og cloudtjenester (undtagelser til EU Data </w:t>
      </w:r>
      <w:proofErr w:type="spellStart"/>
      <w:r w:rsidRPr="00DC4F35">
        <w:t>Boundary</w:t>
      </w:r>
      <w:proofErr w:type="spellEnd"/>
      <w:r w:rsidRPr="00DC4F35">
        <w:t>)</w:t>
      </w:r>
      <w:bookmarkEnd w:id="16"/>
      <w:bookmarkEnd w:id="17"/>
    </w:p>
    <w:p w14:paraId="1F72CAE6" w14:textId="41AE136B" w:rsidR="00DC0285" w:rsidRPr="00DC4F35" w:rsidRDefault="00DC0285" w:rsidP="00DC0285">
      <w:pPr>
        <w:rPr>
          <w:iCs/>
        </w:rPr>
      </w:pPr>
      <w:r w:rsidRPr="00DC4F35">
        <w:rPr>
          <w:iCs/>
        </w:rPr>
        <w:t xml:space="preserve">De Dataansvarliges brug af </w:t>
      </w:r>
      <w:r w:rsidRPr="00DC4F35">
        <w:t xml:space="preserve">de udvalgte cloudtjenester </w:t>
      </w:r>
      <w:r w:rsidRPr="00DC4F35">
        <w:rPr>
          <w:iCs/>
        </w:rPr>
        <w:t>vil</w:t>
      </w:r>
      <w:r w:rsidR="006F51A1" w:rsidRPr="00DC4F35">
        <w:rPr>
          <w:iCs/>
        </w:rPr>
        <w:t xml:space="preserve"> som nævnt </w:t>
      </w:r>
      <w:r w:rsidRPr="00DC4F35">
        <w:rPr>
          <w:iCs/>
        </w:rPr>
        <w:t>blive omfattet af Microsoft</w:t>
      </w:r>
      <w:r w:rsidR="009C1A35" w:rsidRPr="00DC4F35">
        <w:rPr>
          <w:iCs/>
        </w:rPr>
        <w:t xml:space="preserve"> Irelands</w:t>
      </w:r>
      <w:r w:rsidRPr="00DC4F35">
        <w:rPr>
          <w:iCs/>
        </w:rPr>
        <w:t xml:space="preserve"> EU Data </w:t>
      </w:r>
      <w:proofErr w:type="spellStart"/>
      <w:r w:rsidRPr="00DC4F35">
        <w:rPr>
          <w:iCs/>
        </w:rPr>
        <w:t>Boundary</w:t>
      </w:r>
      <w:proofErr w:type="spellEnd"/>
      <w:r w:rsidRPr="00DC4F35">
        <w:rPr>
          <w:iCs/>
        </w:rPr>
        <w:t xml:space="preserve">. Om </w:t>
      </w:r>
      <w:r w:rsidR="00AB275F" w:rsidRPr="00DC4F35">
        <w:rPr>
          <w:iCs/>
        </w:rPr>
        <w:t>undtagelser hertil</w:t>
      </w:r>
      <w:r w:rsidRPr="00DC4F35">
        <w:rPr>
          <w:iCs/>
        </w:rPr>
        <w:t xml:space="preserve"> fremgår </w:t>
      </w:r>
      <w:r w:rsidR="00880A8B" w:rsidRPr="00DC4F35">
        <w:rPr>
          <w:iCs/>
        </w:rPr>
        <w:t xml:space="preserve">følgende </w:t>
      </w:r>
      <w:r w:rsidRPr="00DC4F35">
        <w:rPr>
          <w:iCs/>
        </w:rPr>
        <w:t>af Microsoft</w:t>
      </w:r>
      <w:r w:rsidR="000C7343" w:rsidRPr="00DC4F35">
        <w:rPr>
          <w:iCs/>
        </w:rPr>
        <w:t xml:space="preserve"> Irelands</w:t>
      </w:r>
      <w:r w:rsidRPr="00DC4F35">
        <w:rPr>
          <w:iCs/>
        </w:rPr>
        <w:t xml:space="preserve"> “Product Terms”</w:t>
      </w:r>
      <w:r w:rsidRPr="00DC4F35">
        <w:rPr>
          <w:rStyle w:val="Fodnotehenvisning"/>
          <w:iCs/>
        </w:rPr>
        <w:footnoteReference w:id="8"/>
      </w:r>
      <w:r w:rsidRPr="00DC4F35">
        <w:rPr>
          <w:iCs/>
        </w:rPr>
        <w:t>:</w:t>
      </w:r>
    </w:p>
    <w:p w14:paraId="11DE98CC" w14:textId="77777777" w:rsidR="00DC0285" w:rsidRPr="00DC4F35" w:rsidRDefault="00DC0285" w:rsidP="00DC0285">
      <w:pPr>
        <w:rPr>
          <w:iCs/>
        </w:rPr>
      </w:pPr>
    </w:p>
    <w:p w14:paraId="2C085BB5" w14:textId="6B7BD379" w:rsidR="00245026" w:rsidRPr="001C19E7" w:rsidRDefault="000B1A6F" w:rsidP="00A556F1">
      <w:pPr>
        <w:ind w:left="1276"/>
        <w:rPr>
          <w:i/>
          <w:iCs/>
          <w:lang w:val="en-US"/>
        </w:rPr>
      </w:pPr>
      <w:r w:rsidRPr="001C19E7">
        <w:rPr>
          <w:i/>
          <w:iCs/>
          <w:lang w:val="en-US"/>
        </w:rPr>
        <w:t>“</w:t>
      </w:r>
      <w:r w:rsidR="00245026" w:rsidRPr="001C19E7">
        <w:rPr>
          <w:i/>
          <w:iCs/>
          <w:lang w:val="en-US"/>
        </w:rPr>
        <w:t>Use of EU Data Boundary Services may result in limited transfers of Customer Data or Personal Data outside the EU Data Boundary, as set forth below and further detailed in transparency documentation for the EU Data Boundary located at https://learn.microsoft.com/en-us/privacy/eudb/eu-data-boundary-learn or successor location. Any such transfers will be conducted in accordance with the Data Protection Addendum and the Product Terms.</w:t>
      </w:r>
    </w:p>
    <w:p w14:paraId="1186C8AB" w14:textId="77777777" w:rsidR="00E00FF8" w:rsidRPr="001C19E7" w:rsidRDefault="00E00FF8" w:rsidP="00686F16">
      <w:pPr>
        <w:rPr>
          <w:i/>
          <w:iCs/>
          <w:lang w:val="en-US"/>
        </w:rPr>
      </w:pPr>
    </w:p>
    <w:p w14:paraId="57B30632" w14:textId="77777777" w:rsidR="00245026" w:rsidRPr="001C19E7" w:rsidRDefault="00245026" w:rsidP="00A556F1">
      <w:pPr>
        <w:pStyle w:val="Punktopstilling"/>
        <w:ind w:left="1701" w:hanging="283"/>
        <w:rPr>
          <w:i/>
          <w:iCs/>
          <w:lang w:val="en-US"/>
        </w:rPr>
      </w:pPr>
      <w:r w:rsidRPr="001C19E7">
        <w:rPr>
          <w:b/>
          <w:bCs w:val="0"/>
          <w:i/>
          <w:iCs/>
          <w:lang w:val="en-US"/>
        </w:rPr>
        <w:t>Remote Access</w:t>
      </w:r>
      <w:r w:rsidRPr="001C19E7">
        <w:rPr>
          <w:i/>
          <w:iCs/>
          <w:lang w:val="en-US"/>
        </w:rPr>
        <w:t>. Microsoft personnel located outside the EU Data Boundary may remotely access data processing systems in the EU Data Boundary as necessary to operate, troubleshoot, and secure the EU Data Boundary Services.</w:t>
      </w:r>
    </w:p>
    <w:p w14:paraId="0A018508" w14:textId="77777777" w:rsidR="00245026" w:rsidRPr="001C19E7" w:rsidRDefault="00245026" w:rsidP="00A556F1">
      <w:pPr>
        <w:pStyle w:val="Punktopstilling"/>
        <w:ind w:left="1701" w:hanging="283"/>
        <w:rPr>
          <w:i/>
          <w:iCs/>
          <w:lang w:val="en-US"/>
        </w:rPr>
      </w:pPr>
      <w:r w:rsidRPr="001C19E7">
        <w:rPr>
          <w:b/>
          <w:bCs w:val="0"/>
          <w:i/>
          <w:iCs/>
          <w:lang w:val="en-US"/>
        </w:rPr>
        <w:t>Customer-Initiated Transfers</w:t>
      </w:r>
      <w:r w:rsidRPr="001C19E7">
        <w:rPr>
          <w:i/>
          <w:iCs/>
          <w:lang w:val="en-US"/>
        </w:rPr>
        <w:t>. Customers may initiate transfers outside the EU Data Boundary, such as by accessing EU Data Boundary Services from locations outside the EU Data Boundary, sending an email to a recipient located outside the EU Data Boundary, or use of EU Data Boundary Services in combination with other services not in the EU Data Boundary.</w:t>
      </w:r>
    </w:p>
    <w:p w14:paraId="775947B7" w14:textId="77777777" w:rsidR="00245026" w:rsidRPr="001C19E7" w:rsidRDefault="00245026" w:rsidP="00A556F1">
      <w:pPr>
        <w:pStyle w:val="Punktopstilling"/>
        <w:ind w:left="1701" w:hanging="283"/>
        <w:rPr>
          <w:i/>
          <w:iCs/>
          <w:lang w:val="en-US"/>
        </w:rPr>
      </w:pPr>
      <w:r w:rsidRPr="001C19E7">
        <w:rPr>
          <w:b/>
          <w:bCs w:val="0"/>
          <w:i/>
          <w:iCs/>
          <w:lang w:val="en-US"/>
        </w:rPr>
        <w:t>Protecting Customers</w:t>
      </w:r>
      <w:r w:rsidRPr="001C19E7">
        <w:rPr>
          <w:i/>
          <w:iCs/>
          <w:lang w:val="en-US"/>
        </w:rPr>
        <w:t>. Microsoft transfers limited data outside of the EU Data Boundary as necessary to detect and protect Customers against security threats.</w:t>
      </w:r>
    </w:p>
    <w:p w14:paraId="37212015" w14:textId="77777777" w:rsidR="00245026" w:rsidRPr="001C19E7" w:rsidRDefault="00245026" w:rsidP="00A556F1">
      <w:pPr>
        <w:pStyle w:val="Punktopstilling"/>
        <w:ind w:left="1701" w:hanging="283"/>
        <w:rPr>
          <w:i/>
          <w:iCs/>
          <w:lang w:val="en-US"/>
        </w:rPr>
      </w:pPr>
      <w:r w:rsidRPr="001C19E7">
        <w:rPr>
          <w:b/>
          <w:bCs w:val="0"/>
          <w:i/>
          <w:iCs/>
          <w:lang w:val="en-US"/>
        </w:rPr>
        <w:t>Directory Data</w:t>
      </w:r>
      <w:r w:rsidRPr="001C19E7">
        <w:rPr>
          <w:i/>
          <w:iCs/>
          <w:lang w:val="en-US"/>
        </w:rPr>
        <w:t xml:space="preserve">. Microsoft may replicate limited Microsoft </w:t>
      </w:r>
      <w:proofErr w:type="spellStart"/>
      <w:r w:rsidRPr="001C19E7">
        <w:rPr>
          <w:i/>
          <w:iCs/>
          <w:lang w:val="en-US"/>
        </w:rPr>
        <w:t>Entra</w:t>
      </w:r>
      <w:proofErr w:type="spellEnd"/>
      <w:r w:rsidRPr="001C19E7">
        <w:rPr>
          <w:i/>
          <w:iCs/>
          <w:lang w:val="en-US"/>
        </w:rPr>
        <w:t xml:space="preserve"> directory data from Microsoft </w:t>
      </w:r>
      <w:proofErr w:type="spellStart"/>
      <w:r w:rsidRPr="001C19E7">
        <w:rPr>
          <w:i/>
          <w:iCs/>
          <w:lang w:val="en-US"/>
        </w:rPr>
        <w:t>Entra</w:t>
      </w:r>
      <w:proofErr w:type="spellEnd"/>
      <w:r w:rsidRPr="001C19E7">
        <w:rPr>
          <w:i/>
          <w:iCs/>
          <w:lang w:val="en-US"/>
        </w:rPr>
        <w:t xml:space="preserve"> ID (including username and email address) outside the EU Data Boundary to provide the service.</w:t>
      </w:r>
    </w:p>
    <w:p w14:paraId="0CD88EFD" w14:textId="77777777" w:rsidR="00245026" w:rsidRPr="001C19E7" w:rsidRDefault="00245026" w:rsidP="00A556F1">
      <w:pPr>
        <w:pStyle w:val="Punktopstilling"/>
        <w:ind w:left="1701" w:hanging="283"/>
        <w:rPr>
          <w:i/>
          <w:iCs/>
          <w:lang w:val="en-US"/>
        </w:rPr>
      </w:pPr>
      <w:r w:rsidRPr="001C19E7">
        <w:rPr>
          <w:b/>
          <w:bCs w:val="0"/>
          <w:i/>
          <w:iCs/>
          <w:lang w:val="en-US"/>
        </w:rPr>
        <w:t>Network Transit</w:t>
      </w:r>
      <w:r w:rsidRPr="001C19E7">
        <w:rPr>
          <w:i/>
          <w:iCs/>
          <w:lang w:val="en-US"/>
        </w:rPr>
        <w:t xml:space="preserve">. To reduce routing latency and to maintain routing resiliency, Microsoft uses variable network paths that may occasionally result in transit of data outside the EU Data Boundary. </w:t>
      </w:r>
    </w:p>
    <w:p w14:paraId="79926046" w14:textId="2F783F2C" w:rsidR="00245026" w:rsidRPr="001C19E7" w:rsidRDefault="00245026" w:rsidP="00A556F1">
      <w:pPr>
        <w:pStyle w:val="Punktopstilling"/>
        <w:ind w:left="1701" w:hanging="283"/>
        <w:rPr>
          <w:i/>
          <w:iCs/>
          <w:lang w:val="en-US"/>
        </w:rPr>
      </w:pPr>
      <w:r w:rsidRPr="001C19E7">
        <w:rPr>
          <w:b/>
          <w:bCs w:val="0"/>
          <w:i/>
          <w:iCs/>
          <w:lang w:val="en-US"/>
        </w:rPr>
        <w:t>Service and Platform Quality and Management</w:t>
      </w:r>
      <w:r w:rsidRPr="001C19E7">
        <w:rPr>
          <w:i/>
          <w:iCs/>
          <w:lang w:val="en-US"/>
        </w:rPr>
        <w:t>. When required to monitor and maintain service quality or to ensure accuracy of statistical measures of service use or performance, pseudonymized Personal Data may be transferred outside of the EU Data Boundary.</w:t>
      </w:r>
    </w:p>
    <w:p w14:paraId="2D79C622" w14:textId="67A58E6F" w:rsidR="00DC0285" w:rsidRPr="001C19E7" w:rsidRDefault="00245026" w:rsidP="00A556F1">
      <w:pPr>
        <w:pStyle w:val="Punktopstilling"/>
        <w:ind w:left="1701" w:hanging="283"/>
        <w:rPr>
          <w:i/>
          <w:iCs/>
          <w:lang w:val="en-US"/>
        </w:rPr>
      </w:pPr>
      <w:r w:rsidRPr="001C19E7">
        <w:rPr>
          <w:b/>
          <w:bCs w:val="0"/>
          <w:i/>
          <w:iCs/>
          <w:lang w:val="en-US"/>
        </w:rPr>
        <w:lastRenderedPageBreak/>
        <w:t>Service-Specific Transfers</w:t>
      </w:r>
      <w:r w:rsidRPr="001C19E7">
        <w:rPr>
          <w:i/>
          <w:iCs/>
          <w:lang w:val="en-US"/>
        </w:rPr>
        <w:t xml:space="preserve">. See </w:t>
      </w:r>
      <w:r w:rsidR="000B1A6F" w:rsidRPr="001C19E7">
        <w:rPr>
          <w:i/>
          <w:iCs/>
          <w:lang w:val="en-US"/>
        </w:rPr>
        <w:t>"</w:t>
      </w:r>
      <w:r w:rsidRPr="001C19E7">
        <w:rPr>
          <w:i/>
          <w:iCs/>
          <w:lang w:val="en-US"/>
        </w:rPr>
        <w:t>documentation referenced above for information about transfers applicable to specific EU Data Boundary Services.</w:t>
      </w:r>
      <w:r w:rsidR="000B1A6F" w:rsidRPr="001C19E7">
        <w:rPr>
          <w:i/>
          <w:iCs/>
          <w:lang w:val="en-US"/>
        </w:rPr>
        <w:t>”</w:t>
      </w:r>
    </w:p>
    <w:p w14:paraId="33B2D1CE" w14:textId="37A3F104" w:rsidR="00DC0285" w:rsidRPr="00DC4F35" w:rsidRDefault="00DC0285" w:rsidP="00DC0285">
      <w:pPr>
        <w:rPr>
          <w:iCs/>
          <w:color w:val="FF0000"/>
        </w:rPr>
      </w:pPr>
      <w:r w:rsidRPr="00DC4F35">
        <w:rPr>
          <w:iCs/>
        </w:rPr>
        <w:t xml:space="preserve">Det kan af ovenstående udledes, at der gælder en række undtagelser til </w:t>
      </w:r>
      <w:r w:rsidR="004E596C" w:rsidRPr="00DC4F35">
        <w:rPr>
          <w:iCs/>
        </w:rPr>
        <w:t>opbevaring og behandling inde</w:t>
      </w:r>
      <w:r w:rsidR="00375A31" w:rsidRPr="00DC4F35">
        <w:rPr>
          <w:iCs/>
        </w:rPr>
        <w:t xml:space="preserve">n </w:t>
      </w:r>
      <w:r w:rsidR="004E596C" w:rsidRPr="00DC4F35">
        <w:rPr>
          <w:iCs/>
        </w:rPr>
        <w:t>for EU/EØS</w:t>
      </w:r>
      <w:r w:rsidRPr="00DC4F35">
        <w:rPr>
          <w:iCs/>
        </w:rPr>
        <w:t xml:space="preserve">, hvor der </w:t>
      </w:r>
      <w:r w:rsidR="004E596C" w:rsidRPr="00DC4F35">
        <w:rPr>
          <w:iCs/>
        </w:rPr>
        <w:t xml:space="preserve">således </w:t>
      </w:r>
      <w:r w:rsidRPr="00DC4F35">
        <w:rPr>
          <w:iCs/>
        </w:rPr>
        <w:t>kan eller vil forekomme overførsler</w:t>
      </w:r>
      <w:r w:rsidR="00455686" w:rsidRPr="00DC4F35">
        <w:rPr>
          <w:iCs/>
        </w:rPr>
        <w:t xml:space="preserve"> af personoplysninger</w:t>
      </w:r>
      <w:r w:rsidRPr="00DC4F35">
        <w:rPr>
          <w:iCs/>
        </w:rPr>
        <w:t xml:space="preserve"> til </w:t>
      </w:r>
      <w:r w:rsidR="00455686" w:rsidRPr="00DC4F35">
        <w:rPr>
          <w:iCs/>
        </w:rPr>
        <w:t xml:space="preserve">modtagere i </w:t>
      </w:r>
      <w:r w:rsidRPr="00DC4F35">
        <w:rPr>
          <w:iCs/>
        </w:rPr>
        <w:t>tredjelande</w:t>
      </w:r>
      <w:r w:rsidR="00C00FEA" w:rsidRPr="00DC4F35">
        <w:rPr>
          <w:iCs/>
        </w:rPr>
        <w:t xml:space="preserve"> (tilsigtede overførsler).</w:t>
      </w:r>
    </w:p>
    <w:p w14:paraId="6E27A24D" w14:textId="77777777" w:rsidR="00DC0285" w:rsidRPr="00DC4F35" w:rsidRDefault="00DC0285" w:rsidP="00DC0285">
      <w:pPr>
        <w:rPr>
          <w:iCs/>
        </w:rPr>
      </w:pPr>
    </w:p>
    <w:p w14:paraId="0B9266BB" w14:textId="485C030B" w:rsidR="00DC0285" w:rsidRPr="00DC4F35" w:rsidRDefault="00DC0285" w:rsidP="00DC0285">
      <w:r w:rsidRPr="00DC4F35">
        <w:t>Den i ”Product Terms” nævnte ”</w:t>
      </w:r>
      <w:proofErr w:type="spellStart"/>
      <w:r w:rsidRPr="00DC4F35">
        <w:rPr>
          <w:i/>
          <w:iCs/>
        </w:rPr>
        <w:t>transparency</w:t>
      </w:r>
      <w:proofErr w:type="spellEnd"/>
      <w:r w:rsidRPr="00DC4F35">
        <w:rPr>
          <w:i/>
          <w:iCs/>
        </w:rPr>
        <w:t xml:space="preserve"> </w:t>
      </w:r>
      <w:proofErr w:type="spellStart"/>
      <w:r w:rsidRPr="00DC4F35">
        <w:rPr>
          <w:i/>
          <w:iCs/>
        </w:rPr>
        <w:t>documentation</w:t>
      </w:r>
      <w:proofErr w:type="spellEnd"/>
      <w:r w:rsidRPr="00DC4F35">
        <w:rPr>
          <w:i/>
          <w:iCs/>
        </w:rPr>
        <w:t xml:space="preserve"> for the EU Data </w:t>
      </w:r>
      <w:proofErr w:type="spellStart"/>
      <w:r w:rsidRPr="00DC4F35">
        <w:rPr>
          <w:i/>
          <w:iCs/>
        </w:rPr>
        <w:t>Boundary</w:t>
      </w:r>
      <w:proofErr w:type="spellEnd"/>
      <w:r w:rsidRPr="00DC4F35">
        <w:t xml:space="preserve">” (EU Data </w:t>
      </w:r>
      <w:proofErr w:type="spellStart"/>
      <w:r w:rsidRPr="00DC4F35">
        <w:t>Boundary</w:t>
      </w:r>
      <w:proofErr w:type="spellEnd"/>
      <w:r w:rsidRPr="00DC4F35">
        <w:t xml:space="preserve"> do</w:t>
      </w:r>
      <w:r w:rsidR="001D3566" w:rsidRPr="00DC4F35">
        <w:t>k</w:t>
      </w:r>
      <w:r w:rsidRPr="00DC4F35">
        <w:t>umentation</w:t>
      </w:r>
      <w:r w:rsidR="006E123B" w:rsidRPr="00DC4F35">
        <w:t>en</w:t>
      </w:r>
      <w:r w:rsidRPr="00DC4F35">
        <w:t xml:space="preserve">) er bilag E til konsekvensanalysen og indeholder bl.a. en nærmere beskrivelse af ovenstående situationer, hvor data behandles uden for EU/EØS. Af EU Data </w:t>
      </w:r>
      <w:proofErr w:type="spellStart"/>
      <w:r w:rsidRPr="00DC4F35">
        <w:t>Boundary</w:t>
      </w:r>
      <w:proofErr w:type="spellEnd"/>
      <w:r w:rsidRPr="00DC4F35">
        <w:t xml:space="preserve"> dokumentationen</w:t>
      </w:r>
      <w:r w:rsidR="005B0C83" w:rsidRPr="00DC4F35">
        <w:t>s side 1</w:t>
      </w:r>
      <w:r w:rsidRPr="00DC4F35">
        <w:t xml:space="preserve"> fremgår</w:t>
      </w:r>
      <w:r w:rsidR="00856A65" w:rsidRPr="00DC4F35">
        <w:t xml:space="preserve"> bl.a. følgende</w:t>
      </w:r>
      <w:r w:rsidRPr="00DC4F35">
        <w:t xml:space="preserve">: </w:t>
      </w:r>
    </w:p>
    <w:p w14:paraId="0A7BC5BA" w14:textId="77777777" w:rsidR="00DC0285" w:rsidRPr="00DC4F35" w:rsidRDefault="00DC0285" w:rsidP="00DC0285"/>
    <w:p w14:paraId="495D2BBA" w14:textId="5B662E1E" w:rsidR="00DC0285" w:rsidRPr="001C19E7" w:rsidRDefault="00DC0285" w:rsidP="00A556F1">
      <w:pPr>
        <w:ind w:left="1276"/>
        <w:rPr>
          <w:i/>
          <w:iCs/>
          <w:lang w:val="en-US"/>
        </w:rPr>
      </w:pPr>
      <w:proofErr w:type="gramStart"/>
      <w:r w:rsidRPr="001C19E7">
        <w:rPr>
          <w:lang w:val="en-US"/>
        </w:rPr>
        <w:t>”</w:t>
      </w:r>
      <w:r w:rsidRPr="001C19E7">
        <w:rPr>
          <w:i/>
          <w:iCs/>
          <w:lang w:val="en-US"/>
        </w:rPr>
        <w:t>The</w:t>
      </w:r>
      <w:proofErr w:type="gramEnd"/>
      <w:r w:rsidRPr="001C19E7">
        <w:rPr>
          <w:i/>
          <w:iCs/>
          <w:lang w:val="en-US"/>
        </w:rPr>
        <w:t xml:space="preserve"> EU Data Boundary is a geographically defined boundary within which Microsoft has committed to store and process Customer Data and personal data for our Microsoft enterprise online services, including </w:t>
      </w:r>
      <w:r w:rsidR="00856645" w:rsidRPr="001C19E7">
        <w:rPr>
          <w:i/>
          <w:iCs/>
          <w:lang w:val="en-US"/>
        </w:rPr>
        <w:t>[</w:t>
      </w:r>
      <w:r w:rsidRPr="001C19E7">
        <w:rPr>
          <w:i/>
          <w:iCs/>
          <w:lang w:val="en-US"/>
        </w:rPr>
        <w:t>…</w:t>
      </w:r>
      <w:r w:rsidR="00856645" w:rsidRPr="001C19E7">
        <w:rPr>
          <w:i/>
          <w:iCs/>
          <w:lang w:val="en-US"/>
        </w:rPr>
        <w:t>]</w:t>
      </w:r>
      <w:r w:rsidRPr="001C19E7">
        <w:rPr>
          <w:i/>
          <w:iCs/>
          <w:lang w:val="en-US"/>
        </w:rPr>
        <w:t xml:space="preserve"> Microsoft 365, subject to limited circumstances where Customer Data and personal data will continue to be transferred outside the EU Data Boundary</w:t>
      </w:r>
      <w:r w:rsidR="005B0C83" w:rsidRPr="001C19E7">
        <w:rPr>
          <w:i/>
          <w:iCs/>
          <w:lang w:val="en-US"/>
        </w:rPr>
        <w:t>.</w:t>
      </w:r>
      <w:r w:rsidRPr="001C19E7">
        <w:rPr>
          <w:i/>
          <w:iCs/>
          <w:lang w:val="en-US"/>
        </w:rPr>
        <w:t xml:space="preserve">” </w:t>
      </w:r>
    </w:p>
    <w:p w14:paraId="166354C7" w14:textId="77777777" w:rsidR="00DC0285" w:rsidRPr="001C19E7" w:rsidRDefault="00DC0285" w:rsidP="00DC0285">
      <w:pPr>
        <w:rPr>
          <w:i/>
          <w:iCs/>
          <w:lang w:val="en-US"/>
        </w:rPr>
      </w:pPr>
    </w:p>
    <w:p w14:paraId="7BB81C1F" w14:textId="0BFE7C8B" w:rsidR="00DC0285" w:rsidRPr="00DC4F35" w:rsidRDefault="00DC0285" w:rsidP="00DC0285">
      <w:r w:rsidRPr="001C19E7">
        <w:rPr>
          <w:lang w:val="en-US"/>
        </w:rPr>
        <w:t xml:space="preserve">Microsoft </w:t>
      </w:r>
      <w:r w:rsidR="002316A2" w:rsidRPr="001C19E7">
        <w:rPr>
          <w:lang w:val="en-US"/>
        </w:rPr>
        <w:t xml:space="preserve">Ireland </w:t>
      </w:r>
      <w:proofErr w:type="spellStart"/>
      <w:r w:rsidRPr="001C19E7">
        <w:rPr>
          <w:lang w:val="en-US"/>
        </w:rPr>
        <w:t>anvender</w:t>
      </w:r>
      <w:proofErr w:type="spellEnd"/>
      <w:r w:rsidRPr="001C19E7">
        <w:rPr>
          <w:lang w:val="en-US"/>
        </w:rPr>
        <w:t xml:space="preserve"> </w:t>
      </w:r>
      <w:proofErr w:type="spellStart"/>
      <w:r w:rsidRPr="001C19E7">
        <w:rPr>
          <w:lang w:val="en-US"/>
        </w:rPr>
        <w:t>samme</w:t>
      </w:r>
      <w:proofErr w:type="spellEnd"/>
      <w:r w:rsidRPr="001C19E7">
        <w:rPr>
          <w:lang w:val="en-US"/>
        </w:rPr>
        <w:t xml:space="preserve"> definition </w:t>
      </w:r>
      <w:proofErr w:type="spellStart"/>
      <w:r w:rsidRPr="001C19E7">
        <w:rPr>
          <w:lang w:val="en-US"/>
        </w:rPr>
        <w:t>af</w:t>
      </w:r>
      <w:proofErr w:type="spellEnd"/>
      <w:r w:rsidRPr="001C19E7">
        <w:rPr>
          <w:lang w:val="en-US"/>
        </w:rPr>
        <w:t xml:space="preserve"> Customer Data </w:t>
      </w:r>
      <w:proofErr w:type="spellStart"/>
      <w:r w:rsidRPr="001C19E7">
        <w:rPr>
          <w:lang w:val="en-US"/>
        </w:rPr>
        <w:t>i</w:t>
      </w:r>
      <w:proofErr w:type="spellEnd"/>
      <w:r w:rsidRPr="001C19E7">
        <w:rPr>
          <w:lang w:val="en-US"/>
        </w:rPr>
        <w:t xml:space="preserve"> EU Data Boundary </w:t>
      </w:r>
      <w:proofErr w:type="spellStart"/>
      <w:r w:rsidRPr="001C19E7">
        <w:rPr>
          <w:lang w:val="en-US"/>
        </w:rPr>
        <w:t>dokumentationen</w:t>
      </w:r>
      <w:proofErr w:type="spellEnd"/>
      <w:r w:rsidRPr="001C19E7">
        <w:rPr>
          <w:lang w:val="en-US"/>
        </w:rPr>
        <w:t xml:space="preserve"> </w:t>
      </w:r>
      <w:proofErr w:type="spellStart"/>
      <w:r w:rsidRPr="001C19E7">
        <w:rPr>
          <w:lang w:val="en-US"/>
        </w:rPr>
        <w:t>som</w:t>
      </w:r>
      <w:proofErr w:type="spellEnd"/>
      <w:r w:rsidRPr="001C19E7">
        <w:rPr>
          <w:lang w:val="en-US"/>
        </w:rPr>
        <w:t xml:space="preserve"> </w:t>
      </w:r>
      <w:proofErr w:type="spellStart"/>
      <w:r w:rsidRPr="001C19E7">
        <w:rPr>
          <w:lang w:val="en-US"/>
        </w:rPr>
        <w:t>i</w:t>
      </w:r>
      <w:proofErr w:type="spellEnd"/>
      <w:r w:rsidRPr="001C19E7">
        <w:rPr>
          <w:lang w:val="en-US"/>
        </w:rPr>
        <w:t xml:space="preserve"> Microsoft</w:t>
      </w:r>
      <w:r w:rsidR="002316A2" w:rsidRPr="001C19E7">
        <w:rPr>
          <w:lang w:val="en-US"/>
        </w:rPr>
        <w:t xml:space="preserve"> Irelands</w:t>
      </w:r>
      <w:r w:rsidRPr="001C19E7">
        <w:rPr>
          <w:lang w:val="en-US"/>
        </w:rPr>
        <w:t xml:space="preserve"> </w:t>
      </w:r>
      <w:proofErr w:type="spellStart"/>
      <w:r w:rsidRPr="001C19E7">
        <w:rPr>
          <w:lang w:val="en-US"/>
        </w:rPr>
        <w:t>databehandleraftale</w:t>
      </w:r>
      <w:proofErr w:type="spellEnd"/>
      <w:r w:rsidRPr="001C19E7">
        <w:rPr>
          <w:lang w:val="en-US"/>
        </w:rPr>
        <w:t xml:space="preserve"> og Product Terms, men </w:t>
      </w:r>
      <w:proofErr w:type="spellStart"/>
      <w:r w:rsidRPr="001C19E7">
        <w:rPr>
          <w:lang w:val="en-US"/>
        </w:rPr>
        <w:t>præciserer</w:t>
      </w:r>
      <w:proofErr w:type="spellEnd"/>
      <w:r w:rsidRPr="001C19E7">
        <w:rPr>
          <w:lang w:val="en-US"/>
        </w:rPr>
        <w:t xml:space="preserve">, at </w:t>
      </w:r>
      <w:r w:rsidRPr="001C19E7">
        <w:rPr>
          <w:i/>
          <w:iCs/>
          <w:lang w:val="en-US"/>
        </w:rPr>
        <w:t xml:space="preserve">“[f]or clarity, Customer Data also doesn't include information used to configure resources in the Online Services, such as technical settings and resource names”. </w:t>
      </w:r>
      <w:r w:rsidRPr="00DC4F35">
        <w:t xml:space="preserve">Det fremgår ikke, hvilke informationer der anvendes til at konfigurere Online Services. </w:t>
      </w:r>
    </w:p>
    <w:p w14:paraId="611BDC8D" w14:textId="77777777" w:rsidR="00DC0285" w:rsidRPr="00DC4F35" w:rsidRDefault="00DC0285" w:rsidP="00DC0285"/>
    <w:p w14:paraId="04E900D7" w14:textId="1741E21E" w:rsidR="00DC0285" w:rsidRPr="00DC4F35" w:rsidRDefault="00DC0285" w:rsidP="00DC0285">
      <w:r w:rsidRPr="00DC4F35">
        <w:t xml:space="preserve">Det kan af EU Data </w:t>
      </w:r>
      <w:proofErr w:type="spellStart"/>
      <w:r w:rsidRPr="00DC4F35">
        <w:t>Boundary</w:t>
      </w:r>
      <w:proofErr w:type="spellEnd"/>
      <w:r w:rsidRPr="00DC4F35">
        <w:t xml:space="preserve"> do</w:t>
      </w:r>
      <w:r w:rsidR="001D3566" w:rsidRPr="00DC4F35">
        <w:t>k</w:t>
      </w:r>
      <w:r w:rsidRPr="00DC4F35">
        <w:t xml:space="preserve">umentationen udledes, at overførsler fra Microsoft 365 EU Data </w:t>
      </w:r>
      <w:proofErr w:type="spellStart"/>
      <w:r w:rsidRPr="00DC4F35">
        <w:t>Boundary</w:t>
      </w:r>
      <w:proofErr w:type="spellEnd"/>
      <w:r w:rsidRPr="00DC4F35">
        <w:t xml:space="preserve"> Services ud af EU Data </w:t>
      </w:r>
      <w:proofErr w:type="spellStart"/>
      <w:r w:rsidRPr="00DC4F35">
        <w:t>Boundary</w:t>
      </w:r>
      <w:proofErr w:type="spellEnd"/>
      <w:r w:rsidRPr="00DC4F35">
        <w:t xml:space="preserve"> forekommer kontinuerligt eller lejlighedsvist/potentielt. Overførslerne initieres af Microsoft </w:t>
      </w:r>
      <w:r w:rsidR="00BC51F6" w:rsidRPr="00DC4F35">
        <w:t xml:space="preserve">Ireland </w:t>
      </w:r>
      <w:r w:rsidRPr="00DC4F35">
        <w:t>til Microsoft</w:t>
      </w:r>
      <w:r w:rsidR="00BC51F6" w:rsidRPr="00DC4F35">
        <w:t xml:space="preserve"> Corporation</w:t>
      </w:r>
      <w:r w:rsidRPr="00DC4F35">
        <w:t xml:space="preserve"> eller Microsofts</w:t>
      </w:r>
      <w:r w:rsidR="00BC51F6" w:rsidRPr="00DC4F35">
        <w:t xml:space="preserve"> øvrige</w:t>
      </w:r>
      <w:r w:rsidRPr="00DC4F35">
        <w:t xml:space="preserve"> underdatabehandlere uden</w:t>
      </w:r>
      <w:r w:rsidR="000C3E13" w:rsidRPr="00DC4F35">
        <w:t xml:space="preserve"> </w:t>
      </w:r>
      <w:r w:rsidRPr="00DC4F35">
        <w:t xml:space="preserve">for EU/EØS. Det er i EU Data </w:t>
      </w:r>
      <w:proofErr w:type="spellStart"/>
      <w:r w:rsidRPr="00DC4F35">
        <w:t>Boundary</w:t>
      </w:r>
      <w:proofErr w:type="spellEnd"/>
      <w:r w:rsidRPr="00DC4F35">
        <w:t xml:space="preserve"> do</w:t>
      </w:r>
      <w:r w:rsidR="001D3566" w:rsidRPr="00DC4F35">
        <w:t>k</w:t>
      </w:r>
      <w:r w:rsidRPr="00DC4F35">
        <w:t>umentationen dog ikke angivet, hvilke af Microsoft</w:t>
      </w:r>
      <w:r w:rsidR="0004417C" w:rsidRPr="00DC4F35">
        <w:t xml:space="preserve"> Irelands</w:t>
      </w:r>
      <w:r w:rsidRPr="00DC4F35">
        <w:t xml:space="preserve"> underdatabehandlere der kan ske overførsel til i de enkelte undtagelsestilfælde. De enkelte overførsler vil således potentielt kunne ske til alle de i afsnit </w:t>
      </w:r>
      <w:r w:rsidRPr="00DC4F35">
        <w:fldChar w:fldCharType="begin"/>
      </w:r>
      <w:r w:rsidRPr="00DC4F35">
        <w:instrText xml:space="preserve"> REF _Ref163814746 \r \h </w:instrText>
      </w:r>
      <w:r w:rsidRPr="00DC4F35">
        <w:fldChar w:fldCharType="separate"/>
      </w:r>
      <w:r w:rsidR="00C05EBE">
        <w:t>3.1.1.2</w:t>
      </w:r>
      <w:r w:rsidRPr="00DC4F35">
        <w:fldChar w:fldCharType="end"/>
      </w:r>
      <w:r w:rsidRPr="00DC4F35">
        <w:rPr>
          <w:color w:val="FF0000"/>
        </w:rPr>
        <w:t xml:space="preserve"> </w:t>
      </w:r>
      <w:r w:rsidRPr="00DC4F35">
        <w:t>beskrevne underdatabehandlere. Undtagelsen ”</w:t>
      </w:r>
      <w:r w:rsidRPr="00DC4F35">
        <w:rPr>
          <w:i/>
          <w:iCs/>
        </w:rPr>
        <w:t>Customer-</w:t>
      </w:r>
      <w:proofErr w:type="spellStart"/>
      <w:r w:rsidRPr="00DC4F35">
        <w:rPr>
          <w:i/>
          <w:iCs/>
        </w:rPr>
        <w:t>Initiated</w:t>
      </w:r>
      <w:proofErr w:type="spellEnd"/>
      <w:r w:rsidRPr="00DC4F35">
        <w:rPr>
          <w:i/>
          <w:iCs/>
        </w:rPr>
        <w:t xml:space="preserve"> Transfers</w:t>
      </w:r>
      <w:r w:rsidRPr="00DC4F35">
        <w:t xml:space="preserve">« er ikke behandlet nærmere i denne TIA, idet </w:t>
      </w:r>
      <w:r w:rsidR="00C925BF" w:rsidRPr="00DC4F35">
        <w:t>Statens It</w:t>
      </w:r>
      <w:r w:rsidRPr="00DC4F35">
        <w:t xml:space="preserve"> og Ø</w:t>
      </w:r>
      <w:r w:rsidR="00C925BF" w:rsidRPr="00DC4F35">
        <w:t>konomistyrelsen</w:t>
      </w:r>
      <w:r w:rsidRPr="00DC4F35">
        <w:t xml:space="preserve"> vurderer, at denne undtagelse ikke er relevant for De Dataansvarliges brug af de udvalgte cloudtjenester i Microsoft 365.</w:t>
      </w:r>
    </w:p>
    <w:p w14:paraId="79D1F5FE" w14:textId="77777777" w:rsidR="00DC0285" w:rsidRPr="00DC4F35" w:rsidRDefault="00DC0285" w:rsidP="00DC0285"/>
    <w:p w14:paraId="06D712D4" w14:textId="4EED25EC" w:rsidR="00DC0285" w:rsidRPr="00DC4F35" w:rsidRDefault="00DC0285" w:rsidP="00DC0285">
      <w:r w:rsidRPr="00DC4F35">
        <w:t>Overførselsscenarierne omfatter overordnet set følgende</w:t>
      </w:r>
      <w:r w:rsidR="003C6041" w:rsidRPr="00DC4F35">
        <w:t>:</w:t>
      </w:r>
    </w:p>
    <w:p w14:paraId="03FA04BE" w14:textId="77777777" w:rsidR="00DC0285" w:rsidRPr="00DC4F35" w:rsidRDefault="00DC0285" w:rsidP="00DC0285"/>
    <w:p w14:paraId="2994A991" w14:textId="77777777" w:rsidR="00DC0285" w:rsidRPr="00DC4F35" w:rsidRDefault="00DC0285" w:rsidP="00870C5F">
      <w:pPr>
        <w:pStyle w:val="Listeafsnit"/>
        <w:numPr>
          <w:ilvl w:val="0"/>
          <w:numId w:val="38"/>
        </w:numPr>
      </w:pPr>
      <w:r w:rsidRPr="00DC4F35">
        <w:t xml:space="preserve">Kontinuerlige og potentielle overførsler af </w:t>
      </w:r>
      <w:proofErr w:type="spellStart"/>
      <w:r w:rsidRPr="00DC4F35">
        <w:t>pseudonymiserede</w:t>
      </w:r>
      <w:proofErr w:type="spellEnd"/>
      <w:r w:rsidRPr="00DC4F35">
        <w:t xml:space="preserve"> personoplysninger </w:t>
      </w:r>
    </w:p>
    <w:p w14:paraId="4739F086" w14:textId="77777777" w:rsidR="00DC0285" w:rsidRPr="00DC4F35" w:rsidRDefault="00DC0285" w:rsidP="00870C5F">
      <w:pPr>
        <w:pStyle w:val="Listeafsnit"/>
        <w:numPr>
          <w:ilvl w:val="0"/>
          <w:numId w:val="38"/>
        </w:numPr>
      </w:pPr>
      <w:r w:rsidRPr="00DC4F35">
        <w:t>Potentielle overførsler af ikke-</w:t>
      </w:r>
      <w:proofErr w:type="spellStart"/>
      <w:r w:rsidRPr="00DC4F35">
        <w:t>pseudonymiserede</w:t>
      </w:r>
      <w:proofErr w:type="spellEnd"/>
      <w:r w:rsidRPr="00DC4F35">
        <w:t xml:space="preserve"> personoplysninger </w:t>
      </w:r>
    </w:p>
    <w:p w14:paraId="14CD1E26" w14:textId="77777777" w:rsidR="00DC0285" w:rsidRPr="00DC4F35" w:rsidRDefault="00DC0285" w:rsidP="00870C5F">
      <w:pPr>
        <w:pStyle w:val="Listeafsnit"/>
        <w:numPr>
          <w:ilvl w:val="0"/>
          <w:numId w:val="38"/>
        </w:numPr>
      </w:pPr>
      <w:r w:rsidRPr="00DC4F35">
        <w:lastRenderedPageBreak/>
        <w:t>Kontinuerlige overførsler af ikke-</w:t>
      </w:r>
      <w:proofErr w:type="spellStart"/>
      <w:r w:rsidRPr="00DC4F35">
        <w:t>pseudonymiserede</w:t>
      </w:r>
      <w:proofErr w:type="spellEnd"/>
      <w:r w:rsidRPr="00DC4F35">
        <w:t xml:space="preserve"> personoplysninger til brug for identifikation og adgangsstyring</w:t>
      </w:r>
    </w:p>
    <w:p w14:paraId="1C0A46A3" w14:textId="7DDD93AC" w:rsidR="00DC0285" w:rsidRPr="00DC4F35" w:rsidRDefault="00DC0285" w:rsidP="00870C5F">
      <w:pPr>
        <w:pStyle w:val="Listeafsnit"/>
        <w:numPr>
          <w:ilvl w:val="0"/>
          <w:numId w:val="38"/>
        </w:numPr>
      </w:pPr>
      <w:r w:rsidRPr="00DC4F35">
        <w:t>Cloudtjenestespecifikke overførsler</w:t>
      </w:r>
      <w:r w:rsidR="001B772D" w:rsidRPr="00DC4F35">
        <w:t>.</w:t>
      </w:r>
    </w:p>
    <w:p w14:paraId="5144A2D8" w14:textId="77777777" w:rsidR="00DC0285" w:rsidRPr="00DC4F35" w:rsidRDefault="00DC0285" w:rsidP="00DC0285"/>
    <w:p w14:paraId="51282B2F" w14:textId="1F02086E" w:rsidR="00DC0285" w:rsidRPr="00DC4F35" w:rsidRDefault="00DC0285" w:rsidP="00DC0285">
      <w:r w:rsidRPr="00DC4F35">
        <w:t xml:space="preserve">Microsoft har i EU Data </w:t>
      </w:r>
      <w:proofErr w:type="spellStart"/>
      <w:r w:rsidRPr="00DC4F35">
        <w:t>Boundary</w:t>
      </w:r>
      <w:proofErr w:type="spellEnd"/>
      <w:r w:rsidRPr="00DC4F35">
        <w:t xml:space="preserve"> do</w:t>
      </w:r>
      <w:r w:rsidR="000B1A6F" w:rsidRPr="00DC4F35">
        <w:t>k</w:t>
      </w:r>
      <w:r w:rsidRPr="00DC4F35">
        <w:t>umentationen under afsnittet ”</w:t>
      </w:r>
      <w:proofErr w:type="spellStart"/>
      <w:r w:rsidRPr="00DC4F35">
        <w:rPr>
          <w:i/>
          <w:iCs/>
        </w:rPr>
        <w:t>Continuing</w:t>
      </w:r>
      <w:proofErr w:type="spellEnd"/>
      <w:r w:rsidRPr="00DC4F35">
        <w:rPr>
          <w:i/>
          <w:iCs/>
        </w:rPr>
        <w:t xml:space="preserve"> data transfers for all services”</w:t>
      </w:r>
      <w:r w:rsidRPr="00DC4F35">
        <w:t xml:space="preserve"> angivet</w:t>
      </w:r>
      <w:r w:rsidR="00C40D79" w:rsidRPr="00DC4F35">
        <w:t>,</w:t>
      </w:r>
      <w:r w:rsidRPr="00DC4F35">
        <w:t xml:space="preserve"> til hvilke formål disse overførsler sker. De undtagelser, der er relevante for De Dataansvarliges brug af de udvalgte cloudtjenester, er følgende: </w:t>
      </w:r>
    </w:p>
    <w:p w14:paraId="0D0D8770" w14:textId="77777777" w:rsidR="00DC0285" w:rsidRPr="00DC4F35" w:rsidRDefault="00DC0285" w:rsidP="00DC0285"/>
    <w:p w14:paraId="5B11939A" w14:textId="77777777" w:rsidR="00DC0285" w:rsidRPr="00DC4F35" w:rsidRDefault="00DC0285" w:rsidP="009963C6">
      <w:pPr>
        <w:pStyle w:val="Listeafsnit"/>
        <w:numPr>
          <w:ilvl w:val="0"/>
          <w:numId w:val="22"/>
        </w:numPr>
      </w:pPr>
      <w:r w:rsidRPr="00DC4F35">
        <w:t xml:space="preserve">Overførsel med henblik på opretholdelse af services (Remote </w:t>
      </w:r>
      <w:proofErr w:type="spellStart"/>
      <w:r w:rsidRPr="00DC4F35">
        <w:t>access</w:t>
      </w:r>
      <w:proofErr w:type="spellEnd"/>
      <w:r w:rsidRPr="00DC4F35">
        <w:t xml:space="preserve">) </w:t>
      </w:r>
    </w:p>
    <w:p w14:paraId="4C585276" w14:textId="77777777" w:rsidR="00DC0285" w:rsidRPr="00DC4F35" w:rsidRDefault="00DC0285" w:rsidP="009963C6">
      <w:pPr>
        <w:pStyle w:val="Listeafsnit"/>
        <w:numPr>
          <w:ilvl w:val="0"/>
          <w:numId w:val="22"/>
        </w:numPr>
      </w:pPr>
      <w:proofErr w:type="spellStart"/>
      <w:r w:rsidRPr="00DC4F35">
        <w:t>Protecting</w:t>
      </w:r>
      <w:proofErr w:type="spellEnd"/>
      <w:r w:rsidRPr="00DC4F35">
        <w:t xml:space="preserve"> </w:t>
      </w:r>
      <w:proofErr w:type="spellStart"/>
      <w:r w:rsidRPr="00DC4F35">
        <w:t>customers</w:t>
      </w:r>
      <w:proofErr w:type="spellEnd"/>
    </w:p>
    <w:p w14:paraId="736058B3" w14:textId="33360194" w:rsidR="00DC0285" w:rsidRPr="001C19E7" w:rsidRDefault="00DC0285" w:rsidP="009963C6">
      <w:pPr>
        <w:pStyle w:val="Listeafsnit"/>
        <w:numPr>
          <w:ilvl w:val="0"/>
          <w:numId w:val="22"/>
        </w:numPr>
        <w:rPr>
          <w:lang w:val="en-US"/>
        </w:rPr>
      </w:pPr>
      <w:r w:rsidRPr="001C19E7">
        <w:rPr>
          <w:lang w:val="en-US"/>
        </w:rPr>
        <w:t>Fulfilling GDPR data subject rights requests</w:t>
      </w:r>
    </w:p>
    <w:p w14:paraId="5237B114" w14:textId="77777777" w:rsidR="00DC0285" w:rsidRPr="00DC4F35" w:rsidRDefault="00DC0285" w:rsidP="009963C6">
      <w:pPr>
        <w:pStyle w:val="Listeafsnit"/>
        <w:numPr>
          <w:ilvl w:val="0"/>
          <w:numId w:val="22"/>
        </w:numPr>
      </w:pPr>
      <w:r w:rsidRPr="00DC4F35">
        <w:t>Adgangsstyring/log in i tjenester (Directory Data)</w:t>
      </w:r>
    </w:p>
    <w:p w14:paraId="3D913564" w14:textId="77777777" w:rsidR="00DC0285" w:rsidRPr="001C19E7" w:rsidRDefault="00DC0285" w:rsidP="009963C6">
      <w:pPr>
        <w:pStyle w:val="Listeafsnit"/>
        <w:numPr>
          <w:ilvl w:val="0"/>
          <w:numId w:val="22"/>
        </w:numPr>
        <w:rPr>
          <w:lang w:val="en-US"/>
        </w:rPr>
      </w:pPr>
      <w:r w:rsidRPr="001C19E7">
        <w:rPr>
          <w:lang w:val="en-US"/>
        </w:rPr>
        <w:t>Service and Platform Quality and Management</w:t>
      </w:r>
    </w:p>
    <w:p w14:paraId="23D5487E" w14:textId="6501885B" w:rsidR="003B53A0" w:rsidRPr="00DC4F35" w:rsidRDefault="00071F1E" w:rsidP="009963C6">
      <w:pPr>
        <w:pStyle w:val="Listeafsnit"/>
        <w:numPr>
          <w:ilvl w:val="0"/>
          <w:numId w:val="22"/>
        </w:numPr>
      </w:pPr>
      <w:r w:rsidRPr="00DC4F35">
        <w:t>Supportydelser (</w:t>
      </w:r>
      <w:r w:rsidR="003B53A0" w:rsidRPr="00DC4F35">
        <w:t>Professional Services</w:t>
      </w:r>
      <w:r w:rsidRPr="00DC4F35">
        <w:t>)</w:t>
      </w:r>
      <w:r w:rsidR="00061A52" w:rsidRPr="00DC4F35">
        <w:t>.</w:t>
      </w:r>
    </w:p>
    <w:p w14:paraId="2B2EC8C5" w14:textId="77777777" w:rsidR="00DC0285" w:rsidRPr="00DC4F35" w:rsidRDefault="00DC0285" w:rsidP="00DC0285"/>
    <w:p w14:paraId="3CD8FB7E" w14:textId="06B05EA2" w:rsidR="00DC0285" w:rsidRPr="00DC4F35" w:rsidRDefault="00DC0285" w:rsidP="00DC0285">
      <w:r w:rsidRPr="00DC4F35">
        <w:t>Hvor ofte</w:t>
      </w:r>
      <w:r w:rsidR="001B772D" w:rsidRPr="00DC4F35">
        <w:t>,</w:t>
      </w:r>
      <w:r w:rsidRPr="00DC4F35">
        <w:t xml:space="preserve"> der overføres </w:t>
      </w:r>
      <w:r w:rsidR="001B772D" w:rsidRPr="00DC4F35">
        <w:t xml:space="preserve">personoplysninger til tredjelande </w:t>
      </w:r>
      <w:r w:rsidRPr="00DC4F35">
        <w:t>til disse formål</w:t>
      </w:r>
      <w:r w:rsidR="001B772D" w:rsidRPr="00DC4F35">
        <w:t>,</w:t>
      </w:r>
      <w:r w:rsidRPr="00DC4F35">
        <w:t xml:space="preserve"> beskrives netop nedenfor. De seks undtagelsestilfælde </w:t>
      </w:r>
      <w:r w:rsidR="003C6041" w:rsidRPr="00DC4F35">
        <w:t>uddybes</w:t>
      </w:r>
      <w:r w:rsidRPr="00DC4F35">
        <w:t xml:space="preserve"> </w:t>
      </w:r>
      <w:r w:rsidR="003C6041" w:rsidRPr="00DC4F35">
        <w:t xml:space="preserve">desuden </w:t>
      </w:r>
      <w:r w:rsidRPr="00DC4F35">
        <w:t xml:space="preserve">hver især nærmere nedenfor i afsnit </w:t>
      </w:r>
      <w:r w:rsidRPr="00DC4F35">
        <w:fldChar w:fldCharType="begin"/>
      </w:r>
      <w:r w:rsidRPr="00DC4F35">
        <w:instrText xml:space="preserve"> REF _Ref163823097 \r \h </w:instrText>
      </w:r>
      <w:r w:rsidRPr="00DC4F35">
        <w:fldChar w:fldCharType="separate"/>
      </w:r>
      <w:r w:rsidR="00C05EBE">
        <w:t>3.3</w:t>
      </w:r>
      <w:r w:rsidRPr="00DC4F35">
        <w:fldChar w:fldCharType="end"/>
      </w:r>
      <w:r w:rsidRPr="00DC4F35">
        <w:t xml:space="preserve">. Forinden bemærkes dog, at det tillige fremgår af EU Data </w:t>
      </w:r>
      <w:proofErr w:type="spellStart"/>
      <w:r w:rsidRPr="00DC4F35">
        <w:t>Boundary</w:t>
      </w:r>
      <w:proofErr w:type="spellEnd"/>
      <w:r w:rsidRPr="00DC4F35">
        <w:t xml:space="preserve"> do</w:t>
      </w:r>
      <w:r w:rsidR="000B1A6F" w:rsidRPr="00DC4F35">
        <w:t>k</w:t>
      </w:r>
      <w:r w:rsidRPr="00DC4F35">
        <w:t>umentationen, at Microsoft også undertiden leder data gennem netværk placeret uden for EU/EØS med henblik på at reducere ”</w:t>
      </w:r>
      <w:r w:rsidRPr="00DC4F35">
        <w:rPr>
          <w:i/>
          <w:iCs/>
        </w:rPr>
        <w:t>routing-latens og opretholde routing-resiliens</w:t>
      </w:r>
      <w:r w:rsidRPr="00DC4F35">
        <w:t>”</w:t>
      </w:r>
      <w:r w:rsidR="00C40D79" w:rsidRPr="00DC4F35">
        <w:t>,</w:t>
      </w:r>
      <w:r w:rsidRPr="00DC4F35">
        <w:t xml:space="preserve"> sådan at belastningen og trafikken mindskes. </w:t>
      </w:r>
      <w:r w:rsidR="00C40D79" w:rsidRPr="00DC4F35">
        <w:t>En sådan</w:t>
      </w:r>
      <w:r w:rsidRPr="00DC4F35">
        <w:t xml:space="preserve"> routing</w:t>
      </w:r>
      <w:r w:rsidR="00E762DC" w:rsidRPr="00DC4F35">
        <w:t>/transport af personoplysninger gennem et tredjeland</w:t>
      </w:r>
      <w:r w:rsidRPr="00DC4F35">
        <w:t xml:space="preserve"> udgør</w:t>
      </w:r>
      <w:r w:rsidR="00C40D79" w:rsidRPr="00DC4F35">
        <w:t xml:space="preserve"> ikke</w:t>
      </w:r>
      <w:r w:rsidRPr="00DC4F35">
        <w:t xml:space="preserve"> en overførsel af personoplysninger efter databeskyttelsesforordningen</w:t>
      </w:r>
      <w:r w:rsidR="00E762DC" w:rsidRPr="00DC4F35">
        <w:t>, når personoplysningerne ikke behandles på anden måde i tredjelandet end selve transmissionen.</w:t>
      </w:r>
      <w:r w:rsidR="00E762DC" w:rsidRPr="00DC4F35">
        <w:rPr>
          <w:rStyle w:val="Fodnotehenvisning"/>
        </w:rPr>
        <w:footnoteReference w:id="9"/>
      </w:r>
      <w:r w:rsidRPr="00DC4F35">
        <w:t xml:space="preserve"> </w:t>
      </w:r>
      <w:r w:rsidR="00061A52" w:rsidRPr="00DC4F35">
        <w:t>En sådan r</w:t>
      </w:r>
      <w:r w:rsidRPr="00DC4F35">
        <w:t>outing behandles således ikke yderligere i denne TIA</w:t>
      </w:r>
      <w:r w:rsidR="00395DF2" w:rsidRPr="00DC4F35">
        <w:t>, idet der dog foretages en vurdering af risikoen for, at data opsnappes i transit.</w:t>
      </w:r>
    </w:p>
    <w:p w14:paraId="6B34E703" w14:textId="77777777" w:rsidR="00DC0285" w:rsidRPr="00DC4F35" w:rsidRDefault="00DC0285" w:rsidP="00DC0285"/>
    <w:p w14:paraId="678F60EA" w14:textId="09C6A7BF" w:rsidR="00DC0285" w:rsidRPr="00DC4F35" w:rsidRDefault="00DC0285" w:rsidP="00DC0285">
      <w:r w:rsidRPr="00DC4F35">
        <w:t xml:space="preserve">Det fremgår videre af </w:t>
      </w:r>
      <w:r w:rsidR="003C6041" w:rsidRPr="00DC4F35">
        <w:t xml:space="preserve">EU Data </w:t>
      </w:r>
      <w:proofErr w:type="spellStart"/>
      <w:r w:rsidR="003C6041" w:rsidRPr="00DC4F35">
        <w:t>Boundary</w:t>
      </w:r>
      <w:proofErr w:type="spellEnd"/>
      <w:r w:rsidRPr="00DC4F35">
        <w:t xml:space="preserve"> do</w:t>
      </w:r>
      <w:r w:rsidR="000B1A6F" w:rsidRPr="00DC4F35">
        <w:t>k</w:t>
      </w:r>
      <w:r w:rsidRPr="00DC4F35">
        <w:t>umentation under afsnittene ”</w:t>
      </w:r>
      <w:proofErr w:type="spellStart"/>
      <w:r w:rsidRPr="00DC4F35">
        <w:rPr>
          <w:i/>
          <w:iCs/>
        </w:rPr>
        <w:t>Continuing</w:t>
      </w:r>
      <w:proofErr w:type="spellEnd"/>
      <w:r w:rsidRPr="00DC4F35">
        <w:rPr>
          <w:i/>
          <w:iCs/>
        </w:rPr>
        <w:t xml:space="preserve"> data transfers for </w:t>
      </w:r>
      <w:proofErr w:type="spellStart"/>
      <w:r w:rsidRPr="00DC4F35">
        <w:rPr>
          <w:i/>
          <w:iCs/>
        </w:rPr>
        <w:t>specific</w:t>
      </w:r>
      <w:proofErr w:type="spellEnd"/>
      <w:r w:rsidRPr="00DC4F35">
        <w:rPr>
          <w:i/>
          <w:iCs/>
        </w:rPr>
        <w:t xml:space="preserve"> services</w:t>
      </w:r>
      <w:r w:rsidRPr="00DC4F35">
        <w:t>” og ”</w:t>
      </w:r>
      <w:proofErr w:type="spellStart"/>
      <w:r w:rsidRPr="00DC4F35">
        <w:rPr>
          <w:i/>
          <w:iCs/>
        </w:rPr>
        <w:t>Configuring</w:t>
      </w:r>
      <w:proofErr w:type="spellEnd"/>
      <w:r w:rsidRPr="00DC4F35">
        <w:rPr>
          <w:i/>
          <w:iCs/>
        </w:rPr>
        <w:t xml:space="preserve"> </w:t>
      </w:r>
      <w:proofErr w:type="spellStart"/>
      <w:r w:rsidRPr="00DC4F35">
        <w:rPr>
          <w:i/>
          <w:iCs/>
        </w:rPr>
        <w:t>Azure</w:t>
      </w:r>
      <w:proofErr w:type="spellEnd"/>
      <w:r w:rsidRPr="00DC4F35">
        <w:rPr>
          <w:i/>
          <w:iCs/>
        </w:rPr>
        <w:t xml:space="preserve"> non-regional services</w:t>
      </w:r>
      <w:r w:rsidRPr="00DC4F35">
        <w:t xml:space="preserve">”, at der i tillæg til ovenstående findes endnu en række situationer, hvor der specifikt i forhold til </w:t>
      </w:r>
      <w:r w:rsidR="003C6041" w:rsidRPr="00DC4F35">
        <w:t xml:space="preserve">Teams og Exchange Online </w:t>
      </w:r>
      <w:r w:rsidR="00EB2D1F" w:rsidRPr="00DC4F35">
        <w:t>sker overførsler</w:t>
      </w:r>
      <w:r w:rsidR="000A7EA8" w:rsidRPr="00DC4F35">
        <w:t>,</w:t>
      </w:r>
      <w:r w:rsidR="00EB2D1F" w:rsidRPr="00DC4F35">
        <w:t xml:space="preserve"> som er særlige for disse tjenester (nr. </w:t>
      </w:r>
      <w:r w:rsidR="006C49A1" w:rsidRPr="00DC4F35">
        <w:t>7</w:t>
      </w:r>
      <w:r w:rsidR="00EB2D1F" w:rsidRPr="00DC4F35">
        <w:t>).</w:t>
      </w:r>
      <w:r w:rsidR="006C49A1" w:rsidRPr="00DC4F35">
        <w:t xml:space="preserve"> Denne vil ligeledes blive uddybet i afsnit </w:t>
      </w:r>
      <w:r w:rsidR="006C49A1" w:rsidRPr="00DC4F35">
        <w:fldChar w:fldCharType="begin"/>
      </w:r>
      <w:r w:rsidR="006C49A1" w:rsidRPr="00DC4F35">
        <w:instrText xml:space="preserve"> REF _Ref165310937 \r \h </w:instrText>
      </w:r>
      <w:r w:rsidR="006C49A1" w:rsidRPr="00DC4F35">
        <w:fldChar w:fldCharType="separate"/>
      </w:r>
      <w:r w:rsidR="00C05EBE">
        <w:t>3.3</w:t>
      </w:r>
      <w:r w:rsidR="006C49A1" w:rsidRPr="00DC4F35">
        <w:fldChar w:fldCharType="end"/>
      </w:r>
      <w:r w:rsidR="006C49A1" w:rsidRPr="00DC4F35">
        <w:t>.</w:t>
      </w:r>
      <w:r w:rsidR="00EB2D1F" w:rsidRPr="00DC4F35">
        <w:t xml:space="preserve"> </w:t>
      </w:r>
      <w:r w:rsidR="003C6041" w:rsidRPr="00DC4F35">
        <w:t>De undtagelser</w:t>
      </w:r>
      <w:r w:rsidR="001931C4" w:rsidRPr="00DC4F35">
        <w:t>,</w:t>
      </w:r>
      <w:r w:rsidR="003C6041" w:rsidRPr="00DC4F35">
        <w:t xml:space="preserve"> </w:t>
      </w:r>
      <w:r w:rsidR="006C49A1" w:rsidRPr="00DC4F35">
        <w:t xml:space="preserve">der i tillæg til ovenstående </w:t>
      </w:r>
      <w:r w:rsidR="003C6041" w:rsidRPr="00DC4F35">
        <w:t>er nævnt for så vidt angår Entra ID</w:t>
      </w:r>
      <w:r w:rsidR="001931C4" w:rsidRPr="00DC4F35">
        <w:t>,</w:t>
      </w:r>
      <w:r w:rsidR="003C6041" w:rsidRPr="00DC4F35">
        <w:t xml:space="preserve"> er medtaget ovenfor under nr. 4. </w:t>
      </w:r>
    </w:p>
    <w:p w14:paraId="0285D08C" w14:textId="77777777" w:rsidR="00DC0285" w:rsidRPr="00DC4F35" w:rsidRDefault="00DC0285" w:rsidP="00DC0285"/>
    <w:p w14:paraId="629E2EAC" w14:textId="77777777" w:rsidR="00DC0285" w:rsidRPr="00DC4F35" w:rsidRDefault="00DC0285" w:rsidP="00DC0285">
      <w:pPr>
        <w:rPr>
          <w:u w:val="single"/>
        </w:rPr>
      </w:pPr>
      <w:r w:rsidRPr="00DC4F35">
        <w:rPr>
          <w:u w:val="single"/>
        </w:rPr>
        <w:t xml:space="preserve">Ad 1) Kontinuerlige og potentielle overførsler af </w:t>
      </w:r>
      <w:proofErr w:type="spellStart"/>
      <w:r w:rsidRPr="00DC4F35">
        <w:rPr>
          <w:u w:val="single"/>
        </w:rPr>
        <w:t>pseudonymiserede</w:t>
      </w:r>
      <w:proofErr w:type="spellEnd"/>
      <w:r w:rsidRPr="00DC4F35">
        <w:rPr>
          <w:u w:val="single"/>
        </w:rPr>
        <w:t xml:space="preserve"> personoplysninger</w:t>
      </w:r>
    </w:p>
    <w:p w14:paraId="689AAC62" w14:textId="77777777" w:rsidR="00B00665" w:rsidRPr="00DC4F35" w:rsidRDefault="00B00665" w:rsidP="00DC0285"/>
    <w:p w14:paraId="697175F1" w14:textId="0BC60BC5" w:rsidR="00DC0285" w:rsidRPr="00DC4F35" w:rsidRDefault="00DC0285" w:rsidP="00DC0285">
      <w:r w:rsidRPr="00DC4F35">
        <w:t>Microsoft</w:t>
      </w:r>
      <w:r w:rsidR="000E0FF3" w:rsidRPr="00DC4F35">
        <w:t xml:space="preserve"> Ireland</w:t>
      </w:r>
      <w:r w:rsidRPr="00DC4F35">
        <w:t xml:space="preserve"> overfører </w:t>
      </w:r>
      <w:proofErr w:type="spellStart"/>
      <w:r w:rsidRPr="00DC4F35">
        <w:t>pseudonymiserede</w:t>
      </w:r>
      <w:proofErr w:type="spellEnd"/>
      <w:r w:rsidRPr="00DC4F35">
        <w:t xml:space="preserve"> personoplysninger til brug for ”</w:t>
      </w:r>
      <w:proofErr w:type="spellStart"/>
      <w:r w:rsidRPr="00DC4F35">
        <w:rPr>
          <w:i/>
          <w:iCs/>
        </w:rPr>
        <w:t>protecting</w:t>
      </w:r>
      <w:proofErr w:type="spellEnd"/>
      <w:r w:rsidRPr="00DC4F35">
        <w:rPr>
          <w:i/>
          <w:iCs/>
        </w:rPr>
        <w:t xml:space="preserve"> </w:t>
      </w:r>
      <w:proofErr w:type="spellStart"/>
      <w:r w:rsidRPr="00DC4F35">
        <w:rPr>
          <w:i/>
          <w:iCs/>
        </w:rPr>
        <w:t>customers</w:t>
      </w:r>
      <w:proofErr w:type="spellEnd"/>
      <w:r w:rsidRPr="00DC4F35">
        <w:t xml:space="preserve">”, dvs. beskytte mod/undgå, opdage og opklare </w:t>
      </w:r>
      <w:proofErr w:type="spellStart"/>
      <w:r w:rsidRPr="00DC4F35">
        <w:t>cybersikkerhedstrusler</w:t>
      </w:r>
      <w:proofErr w:type="spellEnd"/>
      <w:r w:rsidRPr="00DC4F35">
        <w:t xml:space="preserve"> og sikkerhedshændelser, jf. nærmere </w:t>
      </w:r>
      <w:r w:rsidRPr="00DC4F35">
        <w:lastRenderedPageBreak/>
        <w:t xml:space="preserve">herom afsnit </w:t>
      </w:r>
      <w:r w:rsidRPr="00DC4F35">
        <w:fldChar w:fldCharType="begin"/>
      </w:r>
      <w:r w:rsidRPr="00DC4F35">
        <w:instrText xml:space="preserve"> REF _Ref160528916 \r \h </w:instrText>
      </w:r>
      <w:r w:rsidRPr="00DC4F35">
        <w:fldChar w:fldCharType="separate"/>
      </w:r>
      <w:r w:rsidR="00C05EBE">
        <w:t>3.3.1.2</w:t>
      </w:r>
      <w:r w:rsidRPr="00DC4F35">
        <w:fldChar w:fldCharType="end"/>
      </w:r>
      <w:r w:rsidRPr="00DC4F35">
        <w:t xml:space="preserve">. </w:t>
      </w:r>
      <w:r w:rsidR="00071FF6" w:rsidRPr="00DC4F35">
        <w:t>Overførslerne sker både kontinuerligt</w:t>
      </w:r>
      <w:r w:rsidR="00525415" w:rsidRPr="00DC4F35">
        <w:t>,</w:t>
      </w:r>
      <w:r w:rsidR="00071FF6" w:rsidRPr="00DC4F35">
        <w:t xml:space="preserve"> og når det er nødvendigt. </w:t>
      </w:r>
      <w:r w:rsidRPr="00DC4F35">
        <w:t>Data overføres til og lagres primært i USA, men kan også overføres til andre (ikke specificerede) regioner i verden</w:t>
      </w:r>
      <w:r w:rsidR="00ED0ECE" w:rsidRPr="00DC4F35">
        <w:t>.</w:t>
      </w:r>
      <w:r w:rsidRPr="00DC4F35">
        <w:rPr>
          <w:rStyle w:val="Fodnotehenvisning"/>
        </w:rPr>
        <w:footnoteReference w:id="10"/>
      </w:r>
      <w:r w:rsidRPr="00DC4F35">
        <w:t xml:space="preserve"> </w:t>
      </w:r>
    </w:p>
    <w:p w14:paraId="40C6A040" w14:textId="77777777" w:rsidR="00DC0285" w:rsidRPr="00DC4F35" w:rsidRDefault="00DC0285" w:rsidP="00DC0285"/>
    <w:p w14:paraId="1EFEA133" w14:textId="67A6CD99" w:rsidR="00DC0285" w:rsidRPr="00DC4F35" w:rsidRDefault="00DC0285" w:rsidP="00DC0285">
      <w:r w:rsidRPr="00DC4F35">
        <w:t xml:space="preserve">Herudover overfører Microsoft </w:t>
      </w:r>
      <w:r w:rsidR="00B55B9D" w:rsidRPr="00DC4F35">
        <w:t xml:space="preserve">Ireland </w:t>
      </w:r>
      <w:r w:rsidRPr="00DC4F35">
        <w:t xml:space="preserve">visse </w:t>
      </w:r>
      <w:proofErr w:type="spellStart"/>
      <w:r w:rsidRPr="00DC4F35">
        <w:t>pseudonymiserede</w:t>
      </w:r>
      <w:proofErr w:type="spellEnd"/>
      <w:r w:rsidRPr="00DC4F35">
        <w:t xml:space="preserve"> personoplysninger til brug for ”</w:t>
      </w:r>
      <w:r w:rsidRPr="00DC4F35">
        <w:rPr>
          <w:i/>
          <w:iCs/>
        </w:rPr>
        <w:t xml:space="preserve">Service and Platform </w:t>
      </w:r>
      <w:proofErr w:type="spellStart"/>
      <w:r w:rsidRPr="00DC4F35">
        <w:rPr>
          <w:i/>
          <w:iCs/>
        </w:rPr>
        <w:t>Quality</w:t>
      </w:r>
      <w:proofErr w:type="spellEnd"/>
      <w:r w:rsidRPr="00DC4F35">
        <w:rPr>
          <w:i/>
          <w:iCs/>
        </w:rPr>
        <w:t xml:space="preserve"> and Management</w:t>
      </w:r>
      <w:r w:rsidRPr="00DC4F35">
        <w:t xml:space="preserve">”, dvs. overvåge cloudtjenesterne, kvaliteten og brugen heraf, jf. nærmere afsnit </w:t>
      </w:r>
      <w:r w:rsidRPr="00DC4F35">
        <w:fldChar w:fldCharType="begin"/>
      </w:r>
      <w:r w:rsidRPr="00DC4F35">
        <w:instrText xml:space="preserve"> REF _Ref160807950 \r \h </w:instrText>
      </w:r>
      <w:r w:rsidRPr="00DC4F35">
        <w:fldChar w:fldCharType="separate"/>
      </w:r>
      <w:r w:rsidR="00C05EBE">
        <w:t>3.3.1.5</w:t>
      </w:r>
      <w:r w:rsidRPr="00DC4F35">
        <w:fldChar w:fldCharType="end"/>
      </w:r>
      <w:r w:rsidRPr="00DC4F35">
        <w:t xml:space="preserve">.   </w:t>
      </w:r>
    </w:p>
    <w:p w14:paraId="297AF539" w14:textId="77777777" w:rsidR="00DC0285" w:rsidRPr="00DC4F35" w:rsidRDefault="00DC0285" w:rsidP="00DC0285">
      <w:r w:rsidRPr="00DC4F35">
        <w:t xml:space="preserve">    </w:t>
      </w:r>
    </w:p>
    <w:p w14:paraId="6D1E616C" w14:textId="627C19B1" w:rsidR="00DC0285" w:rsidRPr="00DC4F35" w:rsidRDefault="00DC0285" w:rsidP="00DC0285">
      <w:r w:rsidRPr="00DC4F35">
        <w:t xml:space="preserve">Microsoft </w:t>
      </w:r>
      <w:r w:rsidR="00B55B9D" w:rsidRPr="00DC4F35">
        <w:t xml:space="preserve">Ireland </w:t>
      </w:r>
      <w:r w:rsidRPr="00DC4F35">
        <w:t xml:space="preserve">overfører </w:t>
      </w:r>
      <w:r w:rsidR="005271CD" w:rsidRPr="00DC4F35">
        <w:t>desuden</w:t>
      </w:r>
      <w:r w:rsidRPr="00DC4F35">
        <w:t xml:space="preserve"> </w:t>
      </w:r>
      <w:proofErr w:type="spellStart"/>
      <w:r w:rsidRPr="00DC4F35">
        <w:t>pseudonymiserede</w:t>
      </w:r>
      <w:proofErr w:type="spellEnd"/>
      <w:r w:rsidRPr="00DC4F35">
        <w:t xml:space="preserve"> personoplysninger med henblik på ”</w:t>
      </w:r>
      <w:r w:rsidRPr="00DC4F35">
        <w:rPr>
          <w:i/>
          <w:iCs/>
        </w:rPr>
        <w:t>opretholdelse af services</w:t>
      </w:r>
      <w:r w:rsidRPr="00DC4F35">
        <w:t xml:space="preserve">”, dvs. fejlretning og vedligeholdelse, når en sådan overførsel er nødvendig, jf. nærmere herom afsnit </w:t>
      </w:r>
      <w:r w:rsidRPr="00DC4F35">
        <w:fldChar w:fldCharType="begin"/>
      </w:r>
      <w:r w:rsidRPr="00DC4F35">
        <w:instrText xml:space="preserve"> REF _Ref160790921 \r \h </w:instrText>
      </w:r>
      <w:r w:rsidRPr="00DC4F35">
        <w:fldChar w:fldCharType="separate"/>
      </w:r>
      <w:r w:rsidR="00C05EBE">
        <w:t>3.3.1.1</w:t>
      </w:r>
      <w:r w:rsidRPr="00DC4F35">
        <w:fldChar w:fldCharType="end"/>
      </w:r>
      <w:r w:rsidRPr="00DC4F35">
        <w:t>. Overførsel sker ved, at Microsoft</w:t>
      </w:r>
      <w:r w:rsidR="00B937E2" w:rsidRPr="00DC4F35">
        <w:t xml:space="preserve">s </w:t>
      </w:r>
      <w:r w:rsidRPr="00DC4F35">
        <w:t xml:space="preserve">personale uden for EU/EØS får adgang til data som nærmere beskrevet i afsnit </w:t>
      </w:r>
      <w:r w:rsidR="005271CD" w:rsidRPr="00DC4F35">
        <w:fldChar w:fldCharType="begin"/>
      </w:r>
      <w:r w:rsidR="005271CD" w:rsidRPr="00DC4F35">
        <w:instrText xml:space="preserve"> REF _Ref164289389 \r \h </w:instrText>
      </w:r>
      <w:r w:rsidR="005271CD" w:rsidRPr="00DC4F35">
        <w:fldChar w:fldCharType="separate"/>
      </w:r>
      <w:r w:rsidR="00C05EBE">
        <w:t>3.1.1.3</w:t>
      </w:r>
      <w:r w:rsidR="005271CD" w:rsidRPr="00DC4F35">
        <w:fldChar w:fldCharType="end"/>
      </w:r>
      <w:r w:rsidR="005271CD" w:rsidRPr="00DC4F35">
        <w:t>.</w:t>
      </w:r>
    </w:p>
    <w:p w14:paraId="1E6355E0" w14:textId="77777777" w:rsidR="00071F1E" w:rsidRPr="00DC4F35" w:rsidRDefault="00071F1E" w:rsidP="00DC0285"/>
    <w:p w14:paraId="0A38AE98" w14:textId="77777777" w:rsidR="00DC0285" w:rsidRPr="00DC4F35" w:rsidRDefault="00DC0285" w:rsidP="00DC0285">
      <w:pPr>
        <w:rPr>
          <w:u w:val="single"/>
        </w:rPr>
      </w:pPr>
      <w:r w:rsidRPr="00DC4F35">
        <w:rPr>
          <w:u w:val="single"/>
        </w:rPr>
        <w:t>Ad 2) Potentielle overførsler af ikke-</w:t>
      </w:r>
      <w:proofErr w:type="spellStart"/>
      <w:r w:rsidRPr="00DC4F35">
        <w:rPr>
          <w:u w:val="single"/>
        </w:rPr>
        <w:t>pseudonymiserede</w:t>
      </w:r>
      <w:proofErr w:type="spellEnd"/>
      <w:r w:rsidRPr="00DC4F35">
        <w:rPr>
          <w:u w:val="single"/>
        </w:rPr>
        <w:t xml:space="preserve"> personoplysninger</w:t>
      </w:r>
    </w:p>
    <w:p w14:paraId="339EF22B" w14:textId="77777777" w:rsidR="00B00665" w:rsidRPr="00DC4F35" w:rsidRDefault="00B00665" w:rsidP="00DC0285"/>
    <w:p w14:paraId="3B8EB7F7" w14:textId="48BC01A7" w:rsidR="00DC0285" w:rsidRPr="00DC4F35" w:rsidRDefault="00DC0285" w:rsidP="00DC0285">
      <w:r w:rsidRPr="00DC4F35">
        <w:t xml:space="preserve">Microsoft </w:t>
      </w:r>
      <w:r w:rsidR="00B937E2" w:rsidRPr="00DC4F35">
        <w:t xml:space="preserve">Ireland </w:t>
      </w:r>
      <w:r w:rsidRPr="00DC4F35">
        <w:t xml:space="preserve">overfører i sjældne tilfælde personoplysninger </w:t>
      </w:r>
      <w:r w:rsidR="005271CD" w:rsidRPr="00DC4F35">
        <w:t>fra</w:t>
      </w:r>
      <w:r w:rsidRPr="00DC4F35">
        <w:t xml:space="preserve"> Customer Data til brug for ”</w:t>
      </w:r>
      <w:proofErr w:type="spellStart"/>
      <w:r w:rsidRPr="00DC4F35">
        <w:rPr>
          <w:i/>
          <w:iCs/>
        </w:rPr>
        <w:t>protecting</w:t>
      </w:r>
      <w:proofErr w:type="spellEnd"/>
      <w:r w:rsidRPr="00DC4F35">
        <w:rPr>
          <w:i/>
          <w:iCs/>
        </w:rPr>
        <w:t xml:space="preserve"> </w:t>
      </w:r>
      <w:proofErr w:type="spellStart"/>
      <w:r w:rsidRPr="00DC4F35">
        <w:rPr>
          <w:i/>
          <w:iCs/>
        </w:rPr>
        <w:t>customers</w:t>
      </w:r>
      <w:proofErr w:type="spellEnd"/>
      <w:r w:rsidRPr="00DC4F35">
        <w:rPr>
          <w:i/>
          <w:iCs/>
        </w:rPr>
        <w:t xml:space="preserve">”, </w:t>
      </w:r>
      <w:r w:rsidRPr="00DC4F35">
        <w:t xml:space="preserve">dvs. beskytte mod/undgå, opdage og opklare </w:t>
      </w:r>
      <w:proofErr w:type="spellStart"/>
      <w:r w:rsidRPr="00DC4F35">
        <w:t>cybersikkerhedstrusler</w:t>
      </w:r>
      <w:proofErr w:type="spellEnd"/>
      <w:r w:rsidRPr="00DC4F35">
        <w:t xml:space="preserve"> og sikkerhedshændelser, jf. nærmere herom afsnit </w:t>
      </w:r>
      <w:r w:rsidRPr="00DC4F35">
        <w:fldChar w:fldCharType="begin"/>
      </w:r>
      <w:r w:rsidRPr="00DC4F35">
        <w:instrText xml:space="preserve"> REF _Ref160528916 \r \h </w:instrText>
      </w:r>
      <w:r w:rsidRPr="00DC4F35">
        <w:fldChar w:fldCharType="separate"/>
      </w:r>
      <w:r w:rsidR="00C05EBE">
        <w:t>3.3.1.2</w:t>
      </w:r>
      <w:r w:rsidRPr="00DC4F35">
        <w:fldChar w:fldCharType="end"/>
      </w:r>
      <w:r w:rsidRPr="00DC4F35">
        <w:t xml:space="preserve">. Det er vores forståelse, at </w:t>
      </w:r>
      <w:r w:rsidR="006C3512" w:rsidRPr="00DC4F35">
        <w:t xml:space="preserve">en </w:t>
      </w:r>
      <w:r w:rsidRPr="00DC4F35">
        <w:t>overførsel både kan ske ved, at Microsoft</w:t>
      </w:r>
      <w:r w:rsidR="00F360F5" w:rsidRPr="00DC4F35">
        <w:t>s</w:t>
      </w:r>
      <w:r w:rsidRPr="00DC4F35">
        <w:t xml:space="preserve"> personale uden for EU/EØS får adgang til data via fjernadgang som nærmere beskrevet i afsnit</w:t>
      </w:r>
      <w:r w:rsidR="005271CD" w:rsidRPr="00DC4F35">
        <w:t xml:space="preserve"> </w:t>
      </w:r>
      <w:r w:rsidR="005271CD" w:rsidRPr="00DC4F35">
        <w:fldChar w:fldCharType="begin"/>
      </w:r>
      <w:r w:rsidR="005271CD" w:rsidRPr="00DC4F35">
        <w:instrText xml:space="preserve"> REF _Ref164289389 \r \h </w:instrText>
      </w:r>
      <w:r w:rsidR="005271CD" w:rsidRPr="00DC4F35">
        <w:fldChar w:fldCharType="separate"/>
      </w:r>
      <w:r w:rsidR="00C05EBE">
        <w:t>3.1.1.3</w:t>
      </w:r>
      <w:r w:rsidR="005271CD" w:rsidRPr="00DC4F35">
        <w:fldChar w:fldCharType="end"/>
      </w:r>
      <w:r w:rsidRPr="00DC4F35">
        <w:t>, og ved fysisk overførsel og lagring af oplysningerne uden for EU/EØS</w:t>
      </w:r>
      <w:r w:rsidR="006C3512" w:rsidRPr="00DC4F35">
        <w:t>.</w:t>
      </w:r>
      <w:r w:rsidRPr="00DC4F35">
        <w:rPr>
          <w:rStyle w:val="Fodnotehenvisning"/>
        </w:rPr>
        <w:footnoteReference w:id="11"/>
      </w:r>
      <w:r w:rsidRPr="00DC4F35">
        <w:t xml:space="preserve"> </w:t>
      </w:r>
      <w:r w:rsidR="006C3512" w:rsidRPr="00DC4F35">
        <w:t>En o</w:t>
      </w:r>
      <w:r w:rsidRPr="00DC4F35">
        <w:t xml:space="preserve">verførsel kan efter vores forståelse ske til ”data center regions </w:t>
      </w:r>
      <w:proofErr w:type="spellStart"/>
      <w:r w:rsidRPr="00DC4F35">
        <w:t>worldwide</w:t>
      </w:r>
      <w:proofErr w:type="spellEnd"/>
      <w:r w:rsidRPr="00DC4F35">
        <w:t>”/”</w:t>
      </w:r>
      <w:proofErr w:type="spellStart"/>
      <w:r w:rsidRPr="00DC4F35">
        <w:t>any</w:t>
      </w:r>
      <w:proofErr w:type="spellEnd"/>
      <w:r w:rsidRPr="00DC4F35">
        <w:t xml:space="preserve"> </w:t>
      </w:r>
      <w:proofErr w:type="spellStart"/>
      <w:r w:rsidRPr="00DC4F35">
        <w:t>Azure</w:t>
      </w:r>
      <w:proofErr w:type="spellEnd"/>
      <w:r w:rsidRPr="00DC4F35">
        <w:t xml:space="preserve"> region </w:t>
      </w:r>
      <w:proofErr w:type="spellStart"/>
      <w:r w:rsidRPr="00DC4F35">
        <w:t>worldwide</w:t>
      </w:r>
      <w:proofErr w:type="spellEnd"/>
      <w:r w:rsidRPr="00DC4F35">
        <w:t>”.</w:t>
      </w:r>
    </w:p>
    <w:p w14:paraId="6D3441CA" w14:textId="77777777" w:rsidR="00DC0285" w:rsidRPr="00DC4F35" w:rsidRDefault="00DC0285" w:rsidP="00DC0285"/>
    <w:p w14:paraId="08CCD208" w14:textId="40202304" w:rsidR="00DC0285" w:rsidRPr="00DC4F35" w:rsidRDefault="00DC0285" w:rsidP="00DC0285">
      <w:r w:rsidRPr="00DC4F35">
        <w:t>Herudover overfører Microsoft</w:t>
      </w:r>
      <w:r w:rsidR="00517A02" w:rsidRPr="00DC4F35">
        <w:t xml:space="preserve"> Ireland</w:t>
      </w:r>
      <w:r w:rsidRPr="00DC4F35">
        <w:t xml:space="preserve"> ”user </w:t>
      </w:r>
      <w:proofErr w:type="spellStart"/>
      <w:r w:rsidRPr="00DC4F35">
        <w:t>identifiers</w:t>
      </w:r>
      <w:proofErr w:type="spellEnd"/>
      <w:r w:rsidRPr="00DC4F35">
        <w:t xml:space="preserve">” i forbindelse med </w:t>
      </w:r>
      <w:r w:rsidRPr="00DC4F35">
        <w:rPr>
          <w:i/>
          <w:iCs/>
        </w:rPr>
        <w:t>opfyldelse/besvarelse af registreredes rettigheder/indsigtsanmodninger</w:t>
      </w:r>
      <w:r w:rsidRPr="00DC4F35">
        <w:t xml:space="preserve">, jf. nærmere herom afsnit </w:t>
      </w:r>
      <w:r w:rsidRPr="00DC4F35">
        <w:fldChar w:fldCharType="begin"/>
      </w:r>
      <w:r w:rsidRPr="00DC4F35">
        <w:instrText xml:space="preserve"> REF _Ref160808586 \r \h </w:instrText>
      </w:r>
      <w:r w:rsidRPr="00DC4F35">
        <w:fldChar w:fldCharType="separate"/>
      </w:r>
      <w:r w:rsidR="00C05EBE">
        <w:t>3.3.1.3</w:t>
      </w:r>
      <w:r w:rsidRPr="00DC4F35">
        <w:fldChar w:fldCharType="end"/>
      </w:r>
      <w:r w:rsidRPr="00DC4F35">
        <w:t xml:space="preserve">. </w:t>
      </w:r>
    </w:p>
    <w:p w14:paraId="7831B3E1" w14:textId="77777777" w:rsidR="006433B1" w:rsidRPr="00DC4F35" w:rsidRDefault="006433B1" w:rsidP="00DC0285"/>
    <w:p w14:paraId="04A5D626" w14:textId="1FDFBCBF" w:rsidR="006433B1" w:rsidRPr="00DC4F35" w:rsidRDefault="006433B1" w:rsidP="00DC0285">
      <w:r w:rsidRPr="00DC4F35">
        <w:t xml:space="preserve">Desuden overføres potentielt ”Professional Services Data” til USA i forbindelse med </w:t>
      </w:r>
      <w:r w:rsidRPr="00DC4F35">
        <w:rPr>
          <w:i/>
          <w:iCs/>
        </w:rPr>
        <w:t>”supportydelser”</w:t>
      </w:r>
      <w:r w:rsidR="00525415" w:rsidRPr="00DC4F35">
        <w:rPr>
          <w:i/>
          <w:iCs/>
        </w:rPr>
        <w:t xml:space="preserve">, </w:t>
      </w:r>
      <w:r w:rsidR="00525415" w:rsidRPr="00DC4F35">
        <w:t xml:space="preserve">jf. nærmere herom afsnit </w:t>
      </w:r>
      <w:r w:rsidR="00525415" w:rsidRPr="00DC4F35">
        <w:fldChar w:fldCharType="begin"/>
      </w:r>
      <w:r w:rsidR="00525415" w:rsidRPr="00DC4F35">
        <w:instrText xml:space="preserve"> REF _Ref165311148 \r \h  \* MERGEFORMAT </w:instrText>
      </w:r>
      <w:r w:rsidR="00525415" w:rsidRPr="00DC4F35">
        <w:fldChar w:fldCharType="separate"/>
      </w:r>
      <w:r w:rsidR="00C05EBE">
        <w:t>3.3.1.6</w:t>
      </w:r>
      <w:r w:rsidR="00525415" w:rsidRPr="00DC4F35">
        <w:fldChar w:fldCharType="end"/>
      </w:r>
      <w:r w:rsidRPr="00DC4F35">
        <w:t>. Når disse data kan opbevares inden</w:t>
      </w:r>
      <w:r w:rsidR="005A7568" w:rsidRPr="00DC4F35">
        <w:t xml:space="preserve"> </w:t>
      </w:r>
      <w:r w:rsidRPr="00DC4F35">
        <w:t xml:space="preserve">for EU Data </w:t>
      </w:r>
      <w:proofErr w:type="spellStart"/>
      <w:r w:rsidRPr="00DC4F35">
        <w:t>Boundary</w:t>
      </w:r>
      <w:proofErr w:type="spellEnd"/>
      <w:r w:rsidRPr="00DC4F35">
        <w:t xml:space="preserve"> Services, er det </w:t>
      </w:r>
      <w:r w:rsidR="00476FDC" w:rsidRPr="00DC4F35">
        <w:t xml:space="preserve">Statens </w:t>
      </w:r>
      <w:proofErr w:type="spellStart"/>
      <w:r w:rsidR="00476FDC" w:rsidRPr="00DC4F35">
        <w:t>It’s</w:t>
      </w:r>
      <w:proofErr w:type="spellEnd"/>
      <w:r w:rsidRPr="00DC4F35">
        <w:t xml:space="preserve"> og </w:t>
      </w:r>
      <w:r w:rsidR="00476FDC" w:rsidRPr="00DC4F35">
        <w:t>Økonomistyrelsens</w:t>
      </w:r>
      <w:r w:rsidRPr="00DC4F35">
        <w:t xml:space="preserve"> forståelse, at der ikke længere vil blive overført ikke-</w:t>
      </w:r>
      <w:proofErr w:type="spellStart"/>
      <w:r w:rsidRPr="00DC4F35">
        <w:t>pseudonymiserede</w:t>
      </w:r>
      <w:proofErr w:type="spellEnd"/>
      <w:r w:rsidRPr="00DC4F35">
        <w:t xml:space="preserve"> personoplysninger i</w:t>
      </w:r>
      <w:r w:rsidR="00120845" w:rsidRPr="00DC4F35">
        <w:t xml:space="preserve"> forbindelse med</w:t>
      </w:r>
      <w:r w:rsidRPr="00DC4F35">
        <w:t xml:space="preserve"> supportydelser til USA. Microsoft </w:t>
      </w:r>
      <w:r w:rsidR="006F4996" w:rsidRPr="00DC4F35">
        <w:t xml:space="preserve">Ireland </w:t>
      </w:r>
      <w:r w:rsidRPr="00DC4F35">
        <w:t>har til S</w:t>
      </w:r>
      <w:r w:rsidR="006F4996" w:rsidRPr="00DC4F35">
        <w:t>tatens It</w:t>
      </w:r>
      <w:r w:rsidRPr="00DC4F35">
        <w:t xml:space="preserve"> og Ø</w:t>
      </w:r>
      <w:r w:rsidR="006F4996" w:rsidRPr="00DC4F35">
        <w:t>konomistyrelsen</w:t>
      </w:r>
      <w:r w:rsidRPr="00DC4F35">
        <w:t xml:space="preserve"> oplyst, at dette skridt forventes afsluttet inden udgangen af år 2024.</w:t>
      </w:r>
    </w:p>
    <w:p w14:paraId="34A222E5" w14:textId="77777777" w:rsidR="00DC0285" w:rsidRPr="00DC4F35" w:rsidRDefault="00DC0285" w:rsidP="00DC0285"/>
    <w:p w14:paraId="4B21888D" w14:textId="2F2ADFBF" w:rsidR="00DC0285" w:rsidRPr="00DC4F35" w:rsidRDefault="00DC0285" w:rsidP="00DC0285">
      <w:pPr>
        <w:rPr>
          <w:u w:val="single"/>
        </w:rPr>
      </w:pPr>
      <w:r w:rsidRPr="00DC4F35">
        <w:rPr>
          <w:u w:val="single"/>
        </w:rPr>
        <w:t>Ad 3) Kontinuerlige overførsler af ikke-</w:t>
      </w:r>
      <w:proofErr w:type="spellStart"/>
      <w:r w:rsidRPr="00DC4F35">
        <w:rPr>
          <w:u w:val="single"/>
        </w:rPr>
        <w:t>pseudonymiserede</w:t>
      </w:r>
      <w:proofErr w:type="spellEnd"/>
      <w:r w:rsidRPr="00DC4F35">
        <w:rPr>
          <w:u w:val="single"/>
        </w:rPr>
        <w:t xml:space="preserve"> personoplysninger til brug for identifikation og adgangsstyring.</w:t>
      </w:r>
    </w:p>
    <w:p w14:paraId="60806F80" w14:textId="77777777" w:rsidR="00DC0285" w:rsidRPr="00DC4F35" w:rsidRDefault="00DC0285" w:rsidP="00DC0285"/>
    <w:p w14:paraId="3A425904" w14:textId="152686B3" w:rsidR="00DC0285" w:rsidRPr="00DC4F35" w:rsidRDefault="00DC0285" w:rsidP="00DC0285">
      <w:r w:rsidRPr="00DC4F35">
        <w:lastRenderedPageBreak/>
        <w:t xml:space="preserve">Microsoft </w:t>
      </w:r>
      <w:r w:rsidR="001A6FB3" w:rsidRPr="00DC4F35">
        <w:t xml:space="preserve">Ireland </w:t>
      </w:r>
      <w:r w:rsidRPr="00DC4F35">
        <w:t xml:space="preserve">overfører personoplysninger til brug for identifikation af en bruger og adgangsstyring til cloudtjenesterne i Microsoft 365 og behandler disse globalt. </w:t>
      </w:r>
      <w:r w:rsidR="00F360F5" w:rsidRPr="00DC4F35">
        <w:t xml:space="preserve">Se herom afsnit </w:t>
      </w:r>
      <w:r w:rsidR="00F360F5" w:rsidRPr="00DC4F35">
        <w:fldChar w:fldCharType="begin"/>
      </w:r>
      <w:r w:rsidR="00F360F5" w:rsidRPr="00DC4F35">
        <w:instrText xml:space="preserve"> REF _Ref161856925 \r \h  \* MERGEFORMAT </w:instrText>
      </w:r>
      <w:r w:rsidR="00F360F5" w:rsidRPr="00DC4F35">
        <w:fldChar w:fldCharType="separate"/>
      </w:r>
      <w:r w:rsidR="00C05EBE">
        <w:t>3.3.1.4</w:t>
      </w:r>
      <w:r w:rsidR="00F360F5" w:rsidRPr="00DC4F35">
        <w:fldChar w:fldCharType="end"/>
      </w:r>
      <w:r w:rsidR="00F360F5" w:rsidRPr="00DC4F35">
        <w:t>.</w:t>
      </w:r>
    </w:p>
    <w:p w14:paraId="1E5DCE4A" w14:textId="77777777" w:rsidR="00DC0285" w:rsidRPr="00DC4F35" w:rsidRDefault="00DC0285" w:rsidP="00DC0285"/>
    <w:p w14:paraId="0FBFAC93" w14:textId="77777777" w:rsidR="00DC0285" w:rsidRPr="00DC4F35" w:rsidRDefault="00DC0285" w:rsidP="00DC0285">
      <w:pPr>
        <w:rPr>
          <w:u w:val="single"/>
        </w:rPr>
      </w:pPr>
      <w:r w:rsidRPr="00DC4F35">
        <w:rPr>
          <w:u w:val="single"/>
        </w:rPr>
        <w:t>Ad 4) Cloudtjenestespecifikke overførsler</w:t>
      </w:r>
    </w:p>
    <w:p w14:paraId="09958533" w14:textId="77777777" w:rsidR="0099659E" w:rsidRPr="00DC4F35" w:rsidRDefault="0099659E" w:rsidP="00DC0285"/>
    <w:p w14:paraId="474C4603" w14:textId="3B6A4191" w:rsidR="00DC0285" w:rsidRPr="00DC4F35" w:rsidRDefault="00DC0285" w:rsidP="00DC0285">
      <w:r w:rsidRPr="00DC4F35">
        <w:t xml:space="preserve">Microsoft </w:t>
      </w:r>
      <w:r w:rsidR="0099659E" w:rsidRPr="00DC4F35">
        <w:t xml:space="preserve">Ireland </w:t>
      </w:r>
      <w:r w:rsidRPr="00DC4F35">
        <w:t xml:space="preserve">overfører og behandler specifikke personoplysninger i forbindelse med konkrete cloudtjenester som nærmere beskrevet i afsnit </w:t>
      </w:r>
      <w:r w:rsidR="002C480D" w:rsidRPr="00DC4F35">
        <w:fldChar w:fldCharType="begin"/>
      </w:r>
      <w:r w:rsidR="002C480D" w:rsidRPr="00DC4F35">
        <w:instrText xml:space="preserve"> REF _Ref165311243 \r \h </w:instrText>
      </w:r>
      <w:r w:rsidR="002C480D" w:rsidRPr="00DC4F35">
        <w:fldChar w:fldCharType="separate"/>
      </w:r>
      <w:r w:rsidR="00C05EBE">
        <w:t>3.3.1.7</w:t>
      </w:r>
      <w:r w:rsidR="002C480D" w:rsidRPr="00DC4F35">
        <w:fldChar w:fldCharType="end"/>
      </w:r>
      <w:r w:rsidRPr="00DC4F35">
        <w:t xml:space="preserve"> og </w:t>
      </w:r>
      <w:r w:rsidRPr="00DC4F35">
        <w:fldChar w:fldCharType="begin"/>
      </w:r>
      <w:r w:rsidRPr="00DC4F35">
        <w:instrText xml:space="preserve"> REF _Ref160808818 \r \h </w:instrText>
      </w:r>
      <w:r w:rsidRPr="00DC4F35">
        <w:fldChar w:fldCharType="separate"/>
      </w:r>
      <w:r w:rsidR="00C05EBE">
        <w:t>3.3.1.8</w:t>
      </w:r>
      <w:r w:rsidRPr="00DC4F35">
        <w:fldChar w:fldCharType="end"/>
      </w:r>
      <w:r w:rsidRPr="00DC4F35">
        <w:t xml:space="preserve">. </w:t>
      </w:r>
    </w:p>
    <w:p w14:paraId="5426CD49" w14:textId="77777777" w:rsidR="00DC0285" w:rsidRPr="00DC4F35" w:rsidRDefault="00DC0285" w:rsidP="00DC0285"/>
    <w:p w14:paraId="6F9E4E72" w14:textId="2E6619E5" w:rsidR="00DC0285" w:rsidRPr="00DC4F35" w:rsidRDefault="00DC0285" w:rsidP="00DC0285">
      <w:r w:rsidRPr="00DC4F35">
        <w:t>De enkelte overførselsscenarier er nærmere beskrevet</w:t>
      </w:r>
      <w:r w:rsidR="00F360F5" w:rsidRPr="00DC4F35">
        <w:t xml:space="preserve"> i</w:t>
      </w:r>
      <w:r w:rsidRPr="00DC4F35">
        <w:t xml:space="preserve"> </w:t>
      </w:r>
      <w:r w:rsidR="005271CD" w:rsidRPr="00DC4F35">
        <w:t xml:space="preserve">afsnit </w:t>
      </w:r>
      <w:r w:rsidR="005271CD" w:rsidRPr="00DC4F35">
        <w:fldChar w:fldCharType="begin"/>
      </w:r>
      <w:r w:rsidR="005271CD" w:rsidRPr="00DC4F35">
        <w:instrText xml:space="preserve"> REF _Ref164289511 \r \h </w:instrText>
      </w:r>
      <w:r w:rsidR="005271CD" w:rsidRPr="00DC4F35">
        <w:fldChar w:fldCharType="separate"/>
      </w:r>
      <w:r w:rsidR="00C05EBE">
        <w:t>3.3</w:t>
      </w:r>
      <w:r w:rsidR="005271CD" w:rsidRPr="00DC4F35">
        <w:fldChar w:fldCharType="end"/>
      </w:r>
      <w:r w:rsidRPr="00DC4F35">
        <w:t>. Det samme er Microsoft</w:t>
      </w:r>
      <w:r w:rsidR="00D1377A" w:rsidRPr="00DC4F35">
        <w:t xml:space="preserve"> Irelands</w:t>
      </w:r>
      <w:r w:rsidRPr="00DC4F35">
        <w:t xml:space="preserve"> interne proces og kontrol ved overførsel. Overordnet kan det dog opsummeres </w:t>
      </w:r>
      <w:r w:rsidR="00F360F5" w:rsidRPr="00DC4F35">
        <w:t>på følgende måde:</w:t>
      </w:r>
      <w:r w:rsidRPr="00DC4F35">
        <w:t xml:space="preserve"> </w:t>
      </w:r>
    </w:p>
    <w:p w14:paraId="27345EF5" w14:textId="77777777" w:rsidR="00DC0285" w:rsidRPr="00DC4F35" w:rsidRDefault="00DC0285" w:rsidP="00DC0285"/>
    <w:p w14:paraId="1F2B9414" w14:textId="1D66A4E4" w:rsidR="00DC0285" w:rsidRPr="00DC4F35" w:rsidRDefault="00DC0285" w:rsidP="00870C5F">
      <w:pPr>
        <w:pStyle w:val="Listeafsnit"/>
        <w:numPr>
          <w:ilvl w:val="0"/>
          <w:numId w:val="39"/>
        </w:numPr>
      </w:pPr>
      <w:r w:rsidRPr="00DC4F35">
        <w:t xml:space="preserve">Der sker efter det af Microsoft </w:t>
      </w:r>
      <w:r w:rsidR="00D72042" w:rsidRPr="00DC4F35">
        <w:t xml:space="preserve">Ireland </w:t>
      </w:r>
      <w:r w:rsidRPr="00DC4F35">
        <w:t xml:space="preserve">oplyste i sjældne tilfælde en fysisk overførsel af Customer Data med henblik på </w:t>
      </w:r>
      <w:proofErr w:type="spellStart"/>
      <w:r w:rsidRPr="00DC4F35">
        <w:rPr>
          <w:i/>
          <w:iCs/>
        </w:rPr>
        <w:t>protecting</w:t>
      </w:r>
      <w:proofErr w:type="spellEnd"/>
      <w:r w:rsidRPr="00DC4F35">
        <w:rPr>
          <w:i/>
          <w:iCs/>
        </w:rPr>
        <w:t xml:space="preserve"> </w:t>
      </w:r>
      <w:proofErr w:type="spellStart"/>
      <w:r w:rsidRPr="00DC4F35">
        <w:rPr>
          <w:i/>
          <w:iCs/>
        </w:rPr>
        <w:t>customers</w:t>
      </w:r>
      <w:proofErr w:type="spellEnd"/>
      <w:r w:rsidRPr="00DC4F35">
        <w:rPr>
          <w:i/>
          <w:iCs/>
        </w:rPr>
        <w:t xml:space="preserve">. </w:t>
      </w:r>
      <w:r w:rsidRPr="00DC4F35">
        <w:t>Herudover sker der fysisk overførsel med henblik på</w:t>
      </w:r>
      <w:r w:rsidRPr="00DC4F35">
        <w:rPr>
          <w:i/>
          <w:iCs/>
        </w:rPr>
        <w:t xml:space="preserve"> ”</w:t>
      </w:r>
      <w:proofErr w:type="spellStart"/>
      <w:r w:rsidRPr="00DC4F35">
        <w:rPr>
          <w:i/>
          <w:iCs/>
        </w:rPr>
        <w:t>Fulfilling</w:t>
      </w:r>
      <w:proofErr w:type="spellEnd"/>
      <w:r w:rsidRPr="00DC4F35">
        <w:rPr>
          <w:i/>
          <w:iCs/>
        </w:rPr>
        <w:t xml:space="preserve"> </w:t>
      </w:r>
      <w:proofErr w:type="gramStart"/>
      <w:r w:rsidRPr="00DC4F35">
        <w:rPr>
          <w:i/>
          <w:iCs/>
        </w:rPr>
        <w:t>GDPR data</w:t>
      </w:r>
      <w:proofErr w:type="gramEnd"/>
      <w:r w:rsidRPr="00DC4F35">
        <w:rPr>
          <w:i/>
          <w:iCs/>
        </w:rPr>
        <w:t xml:space="preserve"> </w:t>
      </w:r>
      <w:proofErr w:type="spellStart"/>
      <w:r w:rsidRPr="00DC4F35">
        <w:rPr>
          <w:i/>
          <w:iCs/>
        </w:rPr>
        <w:t>subject</w:t>
      </w:r>
      <w:proofErr w:type="spellEnd"/>
      <w:r w:rsidRPr="00DC4F35">
        <w:rPr>
          <w:i/>
          <w:iCs/>
        </w:rPr>
        <w:t xml:space="preserve"> </w:t>
      </w:r>
      <w:proofErr w:type="spellStart"/>
      <w:r w:rsidRPr="00DC4F35">
        <w:rPr>
          <w:i/>
          <w:iCs/>
        </w:rPr>
        <w:t>rights</w:t>
      </w:r>
      <w:proofErr w:type="spellEnd"/>
      <w:r w:rsidRPr="00DC4F35">
        <w:rPr>
          <w:i/>
          <w:iCs/>
        </w:rPr>
        <w:t xml:space="preserve"> </w:t>
      </w:r>
      <w:proofErr w:type="spellStart"/>
      <w:r w:rsidRPr="00DC4F35">
        <w:rPr>
          <w:i/>
          <w:iCs/>
        </w:rPr>
        <w:t>requests</w:t>
      </w:r>
      <w:proofErr w:type="spellEnd"/>
      <w:r w:rsidRPr="00DC4F35">
        <w:rPr>
          <w:i/>
          <w:iCs/>
        </w:rPr>
        <w:t xml:space="preserve"> </w:t>
      </w:r>
      <w:proofErr w:type="spellStart"/>
      <w:r w:rsidRPr="00DC4F35">
        <w:rPr>
          <w:i/>
          <w:iCs/>
        </w:rPr>
        <w:t>worldwide</w:t>
      </w:r>
      <w:proofErr w:type="spellEnd"/>
      <w:r w:rsidRPr="00DC4F35">
        <w:rPr>
          <w:i/>
          <w:iCs/>
        </w:rPr>
        <w:t xml:space="preserve">”, </w:t>
      </w:r>
      <w:r w:rsidRPr="00DC4F35">
        <w:t>adgangsstyring/log in i tjenester (Entra ID) og ved supporthenvendelser/andre konsulentydelser (</w:t>
      </w:r>
      <w:r w:rsidRPr="00DC4F35">
        <w:rPr>
          <w:i/>
          <w:iCs/>
        </w:rPr>
        <w:t>Professional Services Data)</w:t>
      </w:r>
      <w:r w:rsidR="00227749" w:rsidRPr="00DC4F35">
        <w:rPr>
          <w:i/>
          <w:iCs/>
        </w:rPr>
        <w:t>,</w:t>
      </w:r>
    </w:p>
    <w:p w14:paraId="65DC8A25" w14:textId="77777777" w:rsidR="00DC0285" w:rsidRPr="00DC4F35" w:rsidRDefault="00DC0285" w:rsidP="00870C5F">
      <w:pPr>
        <w:pStyle w:val="Listeafsnit"/>
        <w:numPr>
          <w:ilvl w:val="0"/>
          <w:numId w:val="39"/>
        </w:numPr>
      </w:pPr>
      <w:r w:rsidRPr="00DC4F35">
        <w:t xml:space="preserve">der sker en fysisk overførsel af </w:t>
      </w:r>
      <w:proofErr w:type="spellStart"/>
      <w:r w:rsidRPr="00DC4F35">
        <w:t>pseudonymiserede</w:t>
      </w:r>
      <w:proofErr w:type="spellEnd"/>
      <w:r w:rsidRPr="00DC4F35">
        <w:t xml:space="preserve"> personoplysninger med henblik på </w:t>
      </w:r>
      <w:proofErr w:type="spellStart"/>
      <w:r w:rsidRPr="00DC4F35">
        <w:rPr>
          <w:i/>
          <w:iCs/>
        </w:rPr>
        <w:t>protecting</w:t>
      </w:r>
      <w:proofErr w:type="spellEnd"/>
      <w:r w:rsidRPr="00DC4F35">
        <w:rPr>
          <w:i/>
          <w:iCs/>
        </w:rPr>
        <w:t xml:space="preserve"> </w:t>
      </w:r>
      <w:proofErr w:type="spellStart"/>
      <w:r w:rsidRPr="00DC4F35">
        <w:rPr>
          <w:i/>
          <w:iCs/>
        </w:rPr>
        <w:t>customers</w:t>
      </w:r>
      <w:proofErr w:type="spellEnd"/>
      <w:r w:rsidRPr="00DC4F35">
        <w:rPr>
          <w:i/>
          <w:iCs/>
        </w:rPr>
        <w:t xml:space="preserve">, Service and Platform </w:t>
      </w:r>
      <w:proofErr w:type="spellStart"/>
      <w:r w:rsidRPr="00DC4F35">
        <w:rPr>
          <w:i/>
          <w:iCs/>
        </w:rPr>
        <w:t>Quality</w:t>
      </w:r>
      <w:proofErr w:type="spellEnd"/>
      <w:r w:rsidRPr="00DC4F35">
        <w:rPr>
          <w:i/>
          <w:iCs/>
        </w:rPr>
        <w:t xml:space="preserve"> and Management, service </w:t>
      </w:r>
      <w:proofErr w:type="spellStart"/>
      <w:r w:rsidRPr="00DC4F35">
        <w:rPr>
          <w:i/>
          <w:iCs/>
        </w:rPr>
        <w:t>health</w:t>
      </w:r>
      <w:proofErr w:type="spellEnd"/>
      <w:r w:rsidRPr="00DC4F35">
        <w:rPr>
          <w:i/>
          <w:iCs/>
        </w:rPr>
        <w:t xml:space="preserve"> </w:t>
      </w:r>
      <w:proofErr w:type="spellStart"/>
      <w:r w:rsidRPr="00DC4F35">
        <w:rPr>
          <w:i/>
          <w:iCs/>
        </w:rPr>
        <w:t>monitoring</w:t>
      </w:r>
      <w:proofErr w:type="spellEnd"/>
      <w:r w:rsidRPr="00DC4F35">
        <w:rPr>
          <w:i/>
          <w:iCs/>
        </w:rPr>
        <w:t xml:space="preserve"> for Exchange Online, </w:t>
      </w:r>
    </w:p>
    <w:p w14:paraId="58ACA733" w14:textId="03CF8423" w:rsidR="00DC0285" w:rsidRPr="00DC4F35" w:rsidRDefault="00DC0285" w:rsidP="00870C5F">
      <w:pPr>
        <w:pStyle w:val="Listeafsnit"/>
        <w:numPr>
          <w:ilvl w:val="0"/>
          <w:numId w:val="39"/>
        </w:numPr>
      </w:pPr>
      <w:r w:rsidRPr="00DC4F35">
        <w:t xml:space="preserve">der gives </w:t>
      </w:r>
      <w:r w:rsidR="00630FE0" w:rsidRPr="00DC4F35">
        <w:t>fjernadgang</w:t>
      </w:r>
      <w:r w:rsidRPr="00DC4F35">
        <w:t xml:space="preserve"> til Customer Data med henblik på </w:t>
      </w:r>
      <w:r w:rsidRPr="00DC4F35">
        <w:rPr>
          <w:i/>
          <w:iCs/>
        </w:rPr>
        <w:t>opretholdelse af services</w:t>
      </w:r>
      <w:r w:rsidR="00227749" w:rsidRPr="00DC4F35">
        <w:rPr>
          <w:i/>
          <w:iCs/>
        </w:rPr>
        <w:t>, og</w:t>
      </w:r>
    </w:p>
    <w:p w14:paraId="2D0F21D4" w14:textId="187605FB" w:rsidR="00DC0285" w:rsidRDefault="00DC0285" w:rsidP="00870C5F">
      <w:pPr>
        <w:pStyle w:val="Listeafsnit"/>
        <w:numPr>
          <w:ilvl w:val="0"/>
          <w:numId w:val="39"/>
        </w:numPr>
        <w:rPr>
          <w:i/>
          <w:iCs/>
        </w:rPr>
      </w:pPr>
      <w:r w:rsidRPr="00DC4F35">
        <w:t xml:space="preserve">der gives </w:t>
      </w:r>
      <w:r w:rsidR="00630FE0" w:rsidRPr="00DC4F35">
        <w:t xml:space="preserve">fjernadgang </w:t>
      </w:r>
      <w:r w:rsidRPr="00DC4F35">
        <w:t xml:space="preserve">til </w:t>
      </w:r>
      <w:proofErr w:type="spellStart"/>
      <w:r w:rsidRPr="00DC4F35">
        <w:t>pseudonymisere</w:t>
      </w:r>
      <w:r w:rsidR="00227749" w:rsidRPr="00DC4F35">
        <w:t>de</w:t>
      </w:r>
      <w:proofErr w:type="spellEnd"/>
      <w:r w:rsidRPr="00DC4F35">
        <w:t xml:space="preserve"> personoplysninger med henblik på </w:t>
      </w:r>
      <w:r w:rsidRPr="00DC4F35">
        <w:rPr>
          <w:i/>
          <w:iCs/>
        </w:rPr>
        <w:t>opretholdelse af services</w:t>
      </w:r>
      <w:r w:rsidR="00432DD2" w:rsidRPr="00DC4F35">
        <w:rPr>
          <w:i/>
          <w:iCs/>
        </w:rPr>
        <w:t>.</w:t>
      </w:r>
    </w:p>
    <w:p w14:paraId="450DF42E" w14:textId="77777777" w:rsidR="00E879C3" w:rsidRDefault="00E879C3" w:rsidP="00E879C3">
      <w:pPr>
        <w:rPr>
          <w:i/>
          <w:iCs/>
        </w:rPr>
      </w:pPr>
    </w:p>
    <w:p w14:paraId="6F2D7D51" w14:textId="0FF9266A" w:rsidR="00E879C3" w:rsidRDefault="00E879C3" w:rsidP="00E879C3">
      <w:pPr>
        <w:rPr>
          <w:u w:val="single"/>
        </w:rPr>
      </w:pPr>
      <w:r w:rsidRPr="00D17437">
        <w:rPr>
          <w:u w:val="single"/>
        </w:rPr>
        <w:t>Ad 6) Supportydelser (Professional Services)</w:t>
      </w:r>
    </w:p>
    <w:p w14:paraId="5D866D54" w14:textId="77777777" w:rsidR="00E879C3" w:rsidRDefault="00E879C3" w:rsidP="00E879C3">
      <w:pPr>
        <w:rPr>
          <w:u w:val="single"/>
        </w:rPr>
      </w:pPr>
    </w:p>
    <w:p w14:paraId="1AD28923" w14:textId="77777777" w:rsidR="00C121F3" w:rsidRDefault="00C121F3" w:rsidP="00E879C3">
      <w:r>
        <w:t xml:space="preserve">Microsoft Ireland behandler i nogle tilfælde personoplysninger i forbindelse med specifikke supportydelser. </w:t>
      </w:r>
    </w:p>
    <w:p w14:paraId="536DA507" w14:textId="77777777" w:rsidR="00C121F3" w:rsidRDefault="00C121F3" w:rsidP="00E879C3"/>
    <w:p w14:paraId="5BDFD58D" w14:textId="4B265B2C" w:rsidR="00E879C3" w:rsidRPr="00DC4F35" w:rsidRDefault="00E879C3" w:rsidP="00E879C3">
      <w:r>
        <w:t xml:space="preserve">Supportydelser er omfattet af Microsofts begreb ”Professional Services”. Professional Services er defineret på følgende måde </w:t>
      </w:r>
      <w:r w:rsidRPr="00DC4F35">
        <w:t>i Microsoft Irelands databehandleraftale, side 4:</w:t>
      </w:r>
    </w:p>
    <w:p w14:paraId="35105A44" w14:textId="77777777" w:rsidR="00E879C3" w:rsidRPr="00DC4F35" w:rsidRDefault="00E879C3" w:rsidP="00E879C3"/>
    <w:p w14:paraId="4F63A696" w14:textId="77777777" w:rsidR="00E879C3" w:rsidRDefault="00E879C3" w:rsidP="00E879C3">
      <w:pPr>
        <w:ind w:left="1276"/>
        <w:rPr>
          <w:i/>
          <w:iCs/>
          <w:lang w:val="en-US"/>
        </w:rPr>
      </w:pPr>
      <w:r w:rsidRPr="001C19E7">
        <w:rPr>
          <w:i/>
          <w:iCs/>
          <w:lang w:val="en-US"/>
        </w:rPr>
        <w:t>“Professional Services” means the following services: […] and (b) technical support services provided by Microsoft that help customers identify and resolve issues affecting Products, including technical support provided as part of Microsoft Unified Support or Premier Support Services, and any other commercial technical support services. The Professional Services do not include the Products or, for purposes of the DPA only, Supplemental Professional Services.”</w:t>
      </w:r>
    </w:p>
    <w:p w14:paraId="578C7B17" w14:textId="77777777" w:rsidR="00D17437" w:rsidRDefault="00D17437" w:rsidP="00E879C3">
      <w:pPr>
        <w:ind w:left="1276"/>
        <w:rPr>
          <w:i/>
          <w:iCs/>
          <w:lang w:val="en-US"/>
        </w:rPr>
      </w:pPr>
    </w:p>
    <w:p w14:paraId="6DABFDA6" w14:textId="32DB9A62" w:rsidR="00C121F3" w:rsidRPr="00D17437" w:rsidRDefault="00C121F3" w:rsidP="00FE2C9A">
      <w:r w:rsidRPr="00D17437">
        <w:t xml:space="preserve">Af EU Data </w:t>
      </w:r>
      <w:proofErr w:type="spellStart"/>
      <w:r w:rsidRPr="00D17437">
        <w:t>Boundary</w:t>
      </w:r>
      <w:proofErr w:type="spellEnd"/>
      <w:r w:rsidRPr="00D17437">
        <w:t xml:space="preserve"> dokumentationen fremgår</w:t>
      </w:r>
      <w:r w:rsidR="00D17437">
        <w:t xml:space="preserve"> følgende</w:t>
      </w:r>
      <w:r w:rsidRPr="00D17437">
        <w:t xml:space="preserve">: </w:t>
      </w:r>
    </w:p>
    <w:p w14:paraId="2C062E16" w14:textId="77777777" w:rsidR="00C121F3" w:rsidRPr="00D17437" w:rsidRDefault="00C121F3" w:rsidP="00FE2C9A"/>
    <w:p w14:paraId="54D0D377" w14:textId="6FA1EB3C" w:rsidR="00C121F3" w:rsidRPr="00C121F3" w:rsidRDefault="00C121F3" w:rsidP="00D17437">
      <w:pPr>
        <w:ind w:left="567"/>
        <w:rPr>
          <w:i/>
          <w:iCs/>
          <w:lang w:val="en-US"/>
        </w:rPr>
      </w:pPr>
      <w:r w:rsidRPr="00D17437">
        <w:rPr>
          <w:i/>
          <w:iCs/>
          <w:lang w:val="en-US"/>
        </w:rPr>
        <w:t>“Professional Services Data is currently stored in United States-based Microsoft datacenters.”</w:t>
      </w:r>
    </w:p>
    <w:p w14:paraId="20928975" w14:textId="3CFAB810" w:rsidR="00E879C3" w:rsidRDefault="00E879C3" w:rsidP="00E879C3">
      <w:pPr>
        <w:rPr>
          <w:lang w:val="en-US"/>
        </w:rPr>
      </w:pPr>
    </w:p>
    <w:p w14:paraId="0A72CE79" w14:textId="1CE2D858" w:rsidR="007B4658" w:rsidRPr="00D17437" w:rsidRDefault="007B4658" w:rsidP="00E879C3">
      <w:bookmarkStart w:id="18" w:name="_Hlk170215368"/>
      <w:r w:rsidRPr="00D17437">
        <w:t xml:space="preserve">Microsoft har imidlertid oplyst, </w:t>
      </w:r>
      <w:r>
        <w:t>at behandling af ”</w:t>
      </w:r>
      <w:proofErr w:type="spellStart"/>
      <w:r>
        <w:t>customer</w:t>
      </w:r>
      <w:proofErr w:type="spellEnd"/>
      <w:r>
        <w:t xml:space="preserve"> content” i forbindelse med behandling af supportsager sker ved ”</w:t>
      </w:r>
      <w:proofErr w:type="spellStart"/>
      <w:r>
        <w:t>remote</w:t>
      </w:r>
      <w:proofErr w:type="spellEnd"/>
      <w:r>
        <w:t xml:space="preserve"> </w:t>
      </w:r>
      <w:proofErr w:type="spellStart"/>
      <w:r>
        <w:t>access</w:t>
      </w:r>
      <w:proofErr w:type="spellEnd"/>
      <w:r>
        <w:t xml:space="preserve">” som beskrevet i afsnit </w:t>
      </w:r>
      <w:r>
        <w:fldChar w:fldCharType="begin"/>
      </w:r>
      <w:r>
        <w:instrText xml:space="preserve"> REF _Ref164289389 \r \h </w:instrText>
      </w:r>
      <w:r>
        <w:fldChar w:fldCharType="separate"/>
      </w:r>
      <w:r w:rsidR="00C05EBE">
        <w:t>3.1.1.3</w:t>
      </w:r>
      <w:r>
        <w:fldChar w:fldCharType="end"/>
      </w:r>
      <w:r>
        <w:t xml:space="preserve">. Customer content </w:t>
      </w:r>
      <w:r w:rsidR="00512379">
        <w:t>lagres</w:t>
      </w:r>
      <w:r>
        <w:t xml:space="preserve"> altså ikke uden for EU Data </w:t>
      </w:r>
      <w:proofErr w:type="spellStart"/>
      <w:r>
        <w:t>Boundary</w:t>
      </w:r>
      <w:proofErr w:type="spellEnd"/>
      <w:r>
        <w:t xml:space="preserve">. </w:t>
      </w:r>
      <w:bookmarkEnd w:id="18"/>
    </w:p>
    <w:p w14:paraId="7ED2D046" w14:textId="77777777" w:rsidR="00DC0285" w:rsidRPr="007B4658" w:rsidRDefault="00DC0285" w:rsidP="00DC0285"/>
    <w:p w14:paraId="5B0B59DD" w14:textId="09A54A3F" w:rsidR="00BA695A" w:rsidRPr="00DC4F35" w:rsidRDefault="00DC0285" w:rsidP="00C736BF">
      <w:pPr>
        <w:pStyle w:val="Overskrift4"/>
      </w:pPr>
      <w:r w:rsidRPr="00DC4F35">
        <w:t xml:space="preserve">Overførsler til </w:t>
      </w:r>
      <w:r w:rsidR="00BA695A" w:rsidRPr="00DC4F35">
        <w:t>Microsoft Corporation</w:t>
      </w:r>
      <w:r w:rsidR="000151F0" w:rsidRPr="00DC4F35">
        <w:t xml:space="preserve"> i USA</w:t>
      </w:r>
    </w:p>
    <w:p w14:paraId="7E5880EF" w14:textId="1E6C3BCB" w:rsidR="00BA695A" w:rsidRPr="00DC4F35" w:rsidRDefault="00D91281" w:rsidP="00BA695A">
      <w:r w:rsidRPr="00DC4F35">
        <w:t xml:space="preserve">Som det fremgår af tabellen ovenfor under afsnit </w:t>
      </w:r>
      <w:r w:rsidR="00DB5315" w:rsidRPr="00DC4F35">
        <w:fldChar w:fldCharType="begin"/>
      </w:r>
      <w:r w:rsidR="00DB5315" w:rsidRPr="00DC4F35">
        <w:instrText xml:space="preserve"> REF _Ref167399861 \r \h </w:instrText>
      </w:r>
      <w:r w:rsidR="00DB5315" w:rsidRPr="00DC4F35">
        <w:fldChar w:fldCharType="separate"/>
      </w:r>
      <w:r w:rsidR="00C05EBE">
        <w:t>3.1</w:t>
      </w:r>
      <w:r w:rsidR="00DB5315" w:rsidRPr="00DC4F35">
        <w:fldChar w:fldCharType="end"/>
      </w:r>
      <w:r w:rsidRPr="00DC4F35">
        <w:t xml:space="preserve">, vil Professional Services Data samt Customer Data fra Exchange Online </w:t>
      </w:r>
      <w:proofErr w:type="spellStart"/>
      <w:r w:rsidRPr="00DC4F35">
        <w:t>Protection</w:t>
      </w:r>
      <w:proofErr w:type="spellEnd"/>
      <w:r w:rsidRPr="00DC4F35">
        <w:t xml:space="preserve"> blive overført til et af Microsofts datacentre i USA, da disse oplysninger på nuværende tidspunkt ikke er omfattet af EU Data </w:t>
      </w:r>
      <w:proofErr w:type="spellStart"/>
      <w:r w:rsidRPr="00DC4F35">
        <w:t>Boundary</w:t>
      </w:r>
      <w:proofErr w:type="spellEnd"/>
      <w:r w:rsidRPr="00DC4F35">
        <w:t xml:space="preserve"> services. Modtageren vil være det amerikanske moderselskab, Microsoft Corporation, som ejer og er ansvarlig for de amerikanske datacentre. </w:t>
      </w:r>
    </w:p>
    <w:p w14:paraId="35531F4B" w14:textId="77777777" w:rsidR="00D91281" w:rsidRPr="00DC4F35" w:rsidRDefault="00D91281" w:rsidP="00BA695A"/>
    <w:p w14:paraId="624CDC14" w14:textId="1E1E4E85" w:rsidR="00D91281" w:rsidRPr="00DC4F35" w:rsidRDefault="00D91281" w:rsidP="00BA695A">
      <w:r w:rsidRPr="00DC4F35">
        <w:t xml:space="preserve">Microsoft planlægger dog senere i </w:t>
      </w:r>
      <w:r w:rsidR="00BB320F" w:rsidRPr="00DC4F35">
        <w:t>år (</w:t>
      </w:r>
      <w:r w:rsidRPr="00DC4F35">
        <w:t>2024</w:t>
      </w:r>
      <w:r w:rsidR="00BB320F" w:rsidRPr="00DC4F35">
        <w:t>)</w:t>
      </w:r>
      <w:r w:rsidRPr="00DC4F35">
        <w:t xml:space="preserve"> at udvide EU Data </w:t>
      </w:r>
      <w:proofErr w:type="spellStart"/>
      <w:r w:rsidRPr="00DC4F35">
        <w:t>Boundary</w:t>
      </w:r>
      <w:proofErr w:type="spellEnd"/>
      <w:r w:rsidR="00710CEA" w:rsidRPr="00DC4F35">
        <w:t>,</w:t>
      </w:r>
      <w:r w:rsidRPr="00DC4F35">
        <w:t xml:space="preserve"> sådan at det også omfatter support-ydelser og dermed Professional Services Data. </w:t>
      </w:r>
      <w:r w:rsidR="00710CEA" w:rsidRPr="00DC4F35">
        <w:t>Når det sker</w:t>
      </w:r>
      <w:r w:rsidR="00D74A20" w:rsidRPr="00DC4F35">
        <w:t>,</w:t>
      </w:r>
      <w:r w:rsidR="00710CEA" w:rsidRPr="00DC4F35">
        <w:t xml:space="preserve"> vil disse oplysninger således også kunne opbevares og behandles inden</w:t>
      </w:r>
      <w:r w:rsidR="005A7568" w:rsidRPr="00DC4F35">
        <w:t xml:space="preserve"> </w:t>
      </w:r>
      <w:r w:rsidR="00710CEA" w:rsidRPr="00DC4F35">
        <w:t>for EU/EØS.</w:t>
      </w:r>
    </w:p>
    <w:p w14:paraId="4BD657E6" w14:textId="77777777" w:rsidR="00D91281" w:rsidRPr="00DC4F35" w:rsidRDefault="00D91281" w:rsidP="00BA695A"/>
    <w:p w14:paraId="5B3D6E17" w14:textId="654EC2CC" w:rsidR="00C736BF" w:rsidRPr="00DC4F35" w:rsidRDefault="00DC0285" w:rsidP="00C736BF">
      <w:pPr>
        <w:pStyle w:val="Overskrift4"/>
      </w:pPr>
      <w:bookmarkStart w:id="19" w:name="_Ref163814746"/>
      <w:r w:rsidRPr="00DC4F35">
        <w:t>Overførsler til a</w:t>
      </w:r>
      <w:r w:rsidR="00BA695A" w:rsidRPr="00DC4F35">
        <w:t>ndre u</w:t>
      </w:r>
      <w:r w:rsidR="00C736BF" w:rsidRPr="00DC4F35">
        <w:t>nderdatabehandlere</w:t>
      </w:r>
      <w:r w:rsidR="00BA695A" w:rsidRPr="00DC4F35">
        <w:t xml:space="preserve"> i tredjelande</w:t>
      </w:r>
      <w:bookmarkEnd w:id="19"/>
    </w:p>
    <w:p w14:paraId="4C0CF8BA" w14:textId="0AF179A8" w:rsidR="00C736BF" w:rsidRPr="00DC4F35" w:rsidRDefault="00C736BF" w:rsidP="00C736BF">
      <w:pPr>
        <w:rPr>
          <w:iCs/>
        </w:rPr>
      </w:pPr>
      <w:r w:rsidRPr="00DC4F35">
        <w:rPr>
          <w:iCs/>
        </w:rPr>
        <w:t>Microsoft</w:t>
      </w:r>
      <w:r w:rsidR="00B73CD0" w:rsidRPr="00DC4F35">
        <w:rPr>
          <w:iCs/>
        </w:rPr>
        <w:t xml:space="preserve"> Ireland</w:t>
      </w:r>
      <w:r w:rsidRPr="00DC4F35">
        <w:rPr>
          <w:iCs/>
        </w:rPr>
        <w:t>s underdatabehandlere er oplistet i ”</w:t>
      </w:r>
      <w:r w:rsidRPr="00DC4F35">
        <w:rPr>
          <w:i/>
        </w:rPr>
        <w:t xml:space="preserve">Microsoft Online Services Subprocessors List, DATE OF ISSUE: </w:t>
      </w:r>
      <w:proofErr w:type="gramStart"/>
      <w:r w:rsidR="0048328A" w:rsidRPr="00DC4F35">
        <w:rPr>
          <w:i/>
        </w:rPr>
        <w:t>November</w:t>
      </w:r>
      <w:proofErr w:type="gramEnd"/>
      <w:r w:rsidRPr="00DC4F35">
        <w:rPr>
          <w:i/>
        </w:rPr>
        <w:t xml:space="preserve"> </w:t>
      </w:r>
      <w:r w:rsidR="0048328A" w:rsidRPr="00DC4F35">
        <w:rPr>
          <w:i/>
        </w:rPr>
        <w:t>30</w:t>
      </w:r>
      <w:r w:rsidRPr="00DC4F35">
        <w:rPr>
          <w:i/>
        </w:rPr>
        <w:t>, 2023</w:t>
      </w:r>
      <w:r w:rsidRPr="00DC4F35">
        <w:rPr>
          <w:iCs/>
        </w:rPr>
        <w:t>” (herefter “Microsoft</w:t>
      </w:r>
      <w:r w:rsidR="00B73CD0" w:rsidRPr="00DC4F35">
        <w:rPr>
          <w:iCs/>
        </w:rPr>
        <w:t xml:space="preserve"> Irelands</w:t>
      </w:r>
      <w:r w:rsidRPr="00DC4F35">
        <w:rPr>
          <w:iCs/>
        </w:rPr>
        <w:t xml:space="preserve"> liste over underdatabehandlere”). Microsoft</w:t>
      </w:r>
      <w:r w:rsidR="00B73CD0" w:rsidRPr="00DC4F35">
        <w:rPr>
          <w:iCs/>
        </w:rPr>
        <w:t xml:space="preserve"> Ireland</w:t>
      </w:r>
      <w:r w:rsidRPr="00DC4F35">
        <w:rPr>
          <w:iCs/>
        </w:rPr>
        <w:t xml:space="preserve"> angiver i Microsoft</w:t>
      </w:r>
      <w:r w:rsidR="005E02BC" w:rsidRPr="00DC4F35">
        <w:rPr>
          <w:iCs/>
        </w:rPr>
        <w:t xml:space="preserve"> Irelands</w:t>
      </w:r>
      <w:r w:rsidRPr="00DC4F35">
        <w:rPr>
          <w:iCs/>
        </w:rPr>
        <w:t xml:space="preserve"> liste over underdatabehandlere, at Microsoft</w:t>
      </w:r>
      <w:r w:rsidR="00D40F74" w:rsidRPr="00DC4F35">
        <w:rPr>
          <w:iCs/>
        </w:rPr>
        <w:t xml:space="preserve"> Ireland</w:t>
      </w:r>
      <w:r w:rsidRPr="00DC4F35">
        <w:rPr>
          <w:iCs/>
        </w:rPr>
        <w:t xml:space="preserve"> har tre kategorier af underdatabehandlere: </w:t>
      </w:r>
    </w:p>
    <w:p w14:paraId="2790669A" w14:textId="77777777" w:rsidR="00227749" w:rsidRPr="00DC4F35" w:rsidRDefault="00227749" w:rsidP="00C736BF">
      <w:pPr>
        <w:rPr>
          <w:iCs/>
        </w:rPr>
      </w:pPr>
    </w:p>
    <w:p w14:paraId="58FA4B69" w14:textId="4CA5E187" w:rsidR="00C736BF" w:rsidRPr="001C19E7" w:rsidRDefault="00C736BF" w:rsidP="00C736BF">
      <w:pPr>
        <w:ind w:left="1304"/>
        <w:rPr>
          <w:i/>
          <w:iCs/>
          <w:lang w:val="en-US"/>
        </w:rPr>
      </w:pPr>
      <w:proofErr w:type="gramStart"/>
      <w:r w:rsidRPr="001C19E7">
        <w:rPr>
          <w:i/>
          <w:lang w:val="en-US"/>
        </w:rPr>
        <w:t>”[</w:t>
      </w:r>
      <w:proofErr w:type="gramEnd"/>
      <w:r w:rsidRPr="001C19E7">
        <w:rPr>
          <w:i/>
          <w:lang w:val="en-US"/>
        </w:rPr>
        <w:t>…]</w:t>
      </w:r>
      <w:r w:rsidR="00B6130F" w:rsidRPr="001C19E7">
        <w:rPr>
          <w:i/>
          <w:lang w:val="en-US"/>
        </w:rPr>
        <w:t xml:space="preserve"> </w:t>
      </w:r>
      <w:r w:rsidRPr="001C19E7">
        <w:rPr>
          <w:i/>
          <w:lang w:val="en-US"/>
        </w:rPr>
        <w:t>(1) third</w:t>
      </w:r>
      <w:r w:rsidRPr="001C19E7">
        <w:rPr>
          <w:i/>
          <w:iCs/>
          <w:lang w:val="en-US"/>
        </w:rPr>
        <w:t xml:space="preserve">-party </w:t>
      </w:r>
      <w:proofErr w:type="spellStart"/>
      <w:r w:rsidRPr="001C19E7">
        <w:rPr>
          <w:i/>
          <w:iCs/>
          <w:lang w:val="en-US"/>
        </w:rPr>
        <w:t>subprocessors</w:t>
      </w:r>
      <w:proofErr w:type="spellEnd"/>
      <w:r w:rsidRPr="001C19E7">
        <w:rPr>
          <w:i/>
          <w:iCs/>
          <w:lang w:val="en-US"/>
        </w:rPr>
        <w:t xml:space="preserve"> that power integrated cloud technologies; (2) third-party </w:t>
      </w:r>
      <w:proofErr w:type="spellStart"/>
      <w:r w:rsidRPr="001C19E7">
        <w:rPr>
          <w:i/>
          <w:iCs/>
          <w:lang w:val="en-US"/>
        </w:rPr>
        <w:t>subprocessors</w:t>
      </w:r>
      <w:proofErr w:type="spellEnd"/>
      <w:r w:rsidRPr="001C19E7">
        <w:rPr>
          <w:i/>
          <w:iCs/>
          <w:lang w:val="en-US"/>
        </w:rPr>
        <w:t xml:space="preserve"> that provide ancillary services; and (3) third-party organizations that provide contract staff to Microsoft.[…] “</w:t>
      </w:r>
    </w:p>
    <w:p w14:paraId="152BCF24" w14:textId="77777777" w:rsidR="00C736BF" w:rsidRPr="001C19E7" w:rsidRDefault="00C736BF" w:rsidP="00C736BF">
      <w:pPr>
        <w:rPr>
          <w:i/>
          <w:iCs/>
          <w:lang w:val="en-US"/>
        </w:rPr>
      </w:pPr>
    </w:p>
    <w:p w14:paraId="4CB6634E" w14:textId="7C02C551" w:rsidR="00C736BF" w:rsidRPr="001C19E7" w:rsidRDefault="00C736BF" w:rsidP="00C736BF">
      <w:pPr>
        <w:rPr>
          <w:lang w:val="en-US"/>
        </w:rPr>
      </w:pPr>
      <w:r w:rsidRPr="001C19E7">
        <w:rPr>
          <w:lang w:val="en-US"/>
        </w:rPr>
        <w:t xml:space="preserve">I forhold </w:t>
      </w:r>
      <w:proofErr w:type="spellStart"/>
      <w:r w:rsidRPr="001C19E7">
        <w:rPr>
          <w:lang w:val="en-US"/>
        </w:rPr>
        <w:t>til</w:t>
      </w:r>
      <w:proofErr w:type="spellEnd"/>
      <w:r w:rsidRPr="001C19E7">
        <w:rPr>
          <w:lang w:val="en-US"/>
        </w:rPr>
        <w:t xml:space="preserve"> nr. 1 </w:t>
      </w:r>
      <w:r w:rsidR="000E626E" w:rsidRPr="001C19E7">
        <w:rPr>
          <w:lang w:val="en-US"/>
        </w:rPr>
        <w:t>(</w:t>
      </w:r>
      <w:r w:rsidRPr="001C19E7">
        <w:rPr>
          <w:lang w:val="en-US"/>
        </w:rPr>
        <w:t>“</w:t>
      </w:r>
      <w:r w:rsidR="000E626E" w:rsidRPr="001C19E7">
        <w:rPr>
          <w:i/>
          <w:iCs/>
          <w:lang w:val="en-US"/>
        </w:rPr>
        <w:t>t</w:t>
      </w:r>
      <w:r w:rsidRPr="001C19E7">
        <w:rPr>
          <w:i/>
          <w:iCs/>
          <w:lang w:val="en-US"/>
        </w:rPr>
        <w:t xml:space="preserve">hird-party </w:t>
      </w:r>
      <w:proofErr w:type="spellStart"/>
      <w:r w:rsidRPr="001C19E7">
        <w:rPr>
          <w:i/>
          <w:iCs/>
          <w:lang w:val="en-US"/>
        </w:rPr>
        <w:t>subprocessors</w:t>
      </w:r>
      <w:proofErr w:type="spellEnd"/>
      <w:r w:rsidRPr="001C19E7">
        <w:rPr>
          <w:i/>
          <w:iCs/>
          <w:lang w:val="en-US"/>
        </w:rPr>
        <w:t xml:space="preserve"> that power integrated cloud technologies</w:t>
      </w:r>
      <w:r w:rsidRPr="001C19E7">
        <w:rPr>
          <w:lang w:val="en-US"/>
        </w:rPr>
        <w:t>”</w:t>
      </w:r>
      <w:r w:rsidR="000E626E" w:rsidRPr="001C19E7">
        <w:rPr>
          <w:lang w:val="en-US"/>
        </w:rPr>
        <w:t>)</w:t>
      </w:r>
      <w:r w:rsidRPr="001C19E7">
        <w:rPr>
          <w:lang w:val="en-US"/>
        </w:rPr>
        <w:t xml:space="preserve">, </w:t>
      </w:r>
      <w:proofErr w:type="spellStart"/>
      <w:r w:rsidRPr="001C19E7">
        <w:rPr>
          <w:lang w:val="en-US"/>
        </w:rPr>
        <w:t>angiver</w:t>
      </w:r>
      <w:proofErr w:type="spellEnd"/>
      <w:r w:rsidRPr="001C19E7">
        <w:rPr>
          <w:lang w:val="en-US"/>
        </w:rPr>
        <w:t xml:space="preserve"> Microsoft</w:t>
      </w:r>
      <w:r w:rsidR="00B6130F" w:rsidRPr="001C19E7">
        <w:rPr>
          <w:lang w:val="en-US"/>
        </w:rPr>
        <w:t xml:space="preserve"> Ireland</w:t>
      </w:r>
      <w:r w:rsidRPr="001C19E7">
        <w:rPr>
          <w:lang w:val="en-US"/>
        </w:rPr>
        <w:t xml:space="preserve">, at </w:t>
      </w:r>
      <w:proofErr w:type="spellStart"/>
      <w:r w:rsidRPr="001C19E7">
        <w:rPr>
          <w:lang w:val="en-US"/>
        </w:rPr>
        <w:t>følgende</w:t>
      </w:r>
      <w:proofErr w:type="spellEnd"/>
      <w:r w:rsidRPr="001C19E7">
        <w:rPr>
          <w:lang w:val="en-US"/>
        </w:rPr>
        <w:t xml:space="preserve"> to </w:t>
      </w:r>
      <w:proofErr w:type="spellStart"/>
      <w:r w:rsidRPr="001C19E7">
        <w:rPr>
          <w:lang w:val="en-US"/>
        </w:rPr>
        <w:t>underdatabehandlere</w:t>
      </w:r>
      <w:proofErr w:type="spellEnd"/>
      <w:r w:rsidRPr="001C19E7">
        <w:rPr>
          <w:lang w:val="en-US"/>
        </w:rPr>
        <w:t xml:space="preserve"> er </w:t>
      </w:r>
      <w:proofErr w:type="spellStart"/>
      <w:r w:rsidRPr="001C19E7">
        <w:rPr>
          <w:lang w:val="en-US"/>
        </w:rPr>
        <w:t>relevante</w:t>
      </w:r>
      <w:proofErr w:type="spellEnd"/>
      <w:r w:rsidRPr="001C19E7">
        <w:rPr>
          <w:lang w:val="en-US"/>
        </w:rPr>
        <w:t xml:space="preserve"> for </w:t>
      </w:r>
      <w:r w:rsidR="00626C6B" w:rsidRPr="001C19E7">
        <w:rPr>
          <w:lang w:val="en-US"/>
        </w:rPr>
        <w:t>Microsoft Online Services</w:t>
      </w:r>
      <w:r w:rsidR="00FA112E" w:rsidRPr="001C19E7">
        <w:rPr>
          <w:lang w:val="en-US"/>
        </w:rPr>
        <w:t xml:space="preserve"> (</w:t>
      </w:r>
      <w:proofErr w:type="spellStart"/>
      <w:r w:rsidR="00FA112E" w:rsidRPr="001C19E7">
        <w:rPr>
          <w:lang w:val="en-US"/>
        </w:rPr>
        <w:t>cloudtjenester</w:t>
      </w:r>
      <w:proofErr w:type="spellEnd"/>
      <w:r w:rsidR="00FA112E" w:rsidRPr="001C19E7">
        <w:rPr>
          <w:lang w:val="en-US"/>
        </w:rPr>
        <w:t>)</w:t>
      </w:r>
      <w:r w:rsidRPr="001C19E7">
        <w:rPr>
          <w:lang w:val="en-US"/>
        </w:rPr>
        <w:t xml:space="preserve">: </w:t>
      </w:r>
    </w:p>
    <w:p w14:paraId="0C0C8F44" w14:textId="77777777" w:rsidR="00C736BF" w:rsidRPr="001C19E7" w:rsidRDefault="00C736BF" w:rsidP="00C736BF">
      <w:pPr>
        <w:rPr>
          <w:lang w:val="en-US"/>
        </w:rPr>
      </w:pPr>
    </w:p>
    <w:p w14:paraId="58E0D4B4" w14:textId="77777777" w:rsidR="00C736BF" w:rsidRPr="00DC4F35" w:rsidRDefault="00C736BF" w:rsidP="009963C6">
      <w:pPr>
        <w:pStyle w:val="Listeafsnit"/>
        <w:numPr>
          <w:ilvl w:val="0"/>
          <w:numId w:val="20"/>
        </w:numPr>
      </w:pPr>
      <w:r w:rsidRPr="00DC4F35">
        <w:t xml:space="preserve">Akamai Technologies, Inc.  </w:t>
      </w:r>
    </w:p>
    <w:p w14:paraId="444CF5A7" w14:textId="1A87BD2C" w:rsidR="00C736BF" w:rsidRPr="00DC4F35" w:rsidRDefault="00C736BF" w:rsidP="009963C6">
      <w:pPr>
        <w:pStyle w:val="Listeafsnit"/>
        <w:numPr>
          <w:ilvl w:val="0"/>
          <w:numId w:val="20"/>
        </w:numPr>
      </w:pPr>
      <w:proofErr w:type="spellStart"/>
      <w:r w:rsidRPr="00DC4F35">
        <w:t>Edgecast</w:t>
      </w:r>
      <w:proofErr w:type="spellEnd"/>
      <w:r w:rsidRPr="00DC4F35">
        <w:t xml:space="preserve"> Networks, Inc.</w:t>
      </w:r>
      <w:r w:rsidR="00551FDD" w:rsidRPr="00DC4F35">
        <w:t xml:space="preserve"> (i dag retteligt </w:t>
      </w:r>
      <w:proofErr w:type="spellStart"/>
      <w:r w:rsidR="00551FDD" w:rsidRPr="00DC4F35">
        <w:t>Edgio</w:t>
      </w:r>
      <w:proofErr w:type="spellEnd"/>
      <w:r w:rsidR="00551FDD" w:rsidRPr="00DC4F35">
        <w:t>, Inc)</w:t>
      </w:r>
    </w:p>
    <w:p w14:paraId="5778CF99" w14:textId="77777777" w:rsidR="00C736BF" w:rsidRPr="00DC4F35" w:rsidRDefault="00C736BF" w:rsidP="00C736BF"/>
    <w:p w14:paraId="50C108CE" w14:textId="7DAD0FE2" w:rsidR="00C736BF" w:rsidRPr="00DC4F35" w:rsidRDefault="00C736BF" w:rsidP="008E7FD1">
      <w:pPr>
        <w:spacing w:line="276" w:lineRule="auto"/>
      </w:pPr>
      <w:r w:rsidRPr="001C19E7">
        <w:rPr>
          <w:lang w:val="en-US"/>
        </w:rPr>
        <w:t>Microsoft</w:t>
      </w:r>
      <w:r w:rsidR="001965D3" w:rsidRPr="001C19E7">
        <w:rPr>
          <w:lang w:val="en-US"/>
        </w:rPr>
        <w:t xml:space="preserve"> Ireland</w:t>
      </w:r>
      <w:r w:rsidRPr="001C19E7">
        <w:rPr>
          <w:lang w:val="en-US"/>
        </w:rPr>
        <w:t xml:space="preserve"> </w:t>
      </w:r>
      <w:proofErr w:type="spellStart"/>
      <w:r w:rsidRPr="001C19E7">
        <w:rPr>
          <w:lang w:val="en-US"/>
        </w:rPr>
        <w:t>angiver</w:t>
      </w:r>
      <w:proofErr w:type="spellEnd"/>
      <w:r w:rsidRPr="001C19E7">
        <w:rPr>
          <w:lang w:val="en-US"/>
        </w:rPr>
        <w:t xml:space="preserve">, at </w:t>
      </w:r>
      <w:proofErr w:type="spellStart"/>
      <w:proofErr w:type="gramStart"/>
      <w:r w:rsidRPr="001C19E7">
        <w:rPr>
          <w:lang w:val="en-US"/>
        </w:rPr>
        <w:t>underdatabehandlerne</w:t>
      </w:r>
      <w:proofErr w:type="spellEnd"/>
      <w:r w:rsidR="008E7FD1" w:rsidRPr="001C19E7">
        <w:rPr>
          <w:lang w:val="en-US"/>
        </w:rPr>
        <w:t xml:space="preserve"> </w:t>
      </w:r>
      <w:r w:rsidR="008E7FD1" w:rsidRPr="001C19E7">
        <w:rPr>
          <w:i/>
          <w:iCs/>
          <w:lang w:val="en-US"/>
        </w:rPr>
        <w:t>”power</w:t>
      </w:r>
      <w:proofErr w:type="gramEnd"/>
      <w:r w:rsidR="008E7FD1" w:rsidRPr="001C19E7">
        <w:rPr>
          <w:i/>
          <w:iCs/>
          <w:lang w:val="en-US"/>
        </w:rPr>
        <w:t xml:space="preserve"> technologies that are integrated with Microsoft Online Services and in part power the Microsoft cloud functions</w:t>
      </w:r>
      <w:r w:rsidR="008E7FD1" w:rsidRPr="001C19E7">
        <w:rPr>
          <w:lang w:val="en-US"/>
        </w:rPr>
        <w:t xml:space="preserve">”. </w:t>
      </w:r>
      <w:r w:rsidR="008E7FD1" w:rsidRPr="00DC4F35">
        <w:t xml:space="preserve">Microsoft uddyber herefter, at </w:t>
      </w:r>
      <w:r w:rsidR="008E7FD1" w:rsidRPr="00DC4F35">
        <w:lastRenderedPageBreak/>
        <w:t>denne</w:t>
      </w:r>
      <w:r w:rsidRPr="00DC4F35">
        <w:t xml:space="preserve"> rolle kan bestå i at </w:t>
      </w:r>
      <w:proofErr w:type="gramStart"/>
      <w:r w:rsidRPr="00DC4F35">
        <w:t>“[</w:t>
      </w:r>
      <w:proofErr w:type="gramEnd"/>
      <w:r w:rsidRPr="00DC4F35">
        <w:t>…]</w:t>
      </w:r>
      <w:proofErr w:type="spellStart"/>
      <w:r w:rsidRPr="00DC4F35">
        <w:rPr>
          <w:i/>
          <w:iCs/>
        </w:rPr>
        <w:t>process</w:t>
      </w:r>
      <w:proofErr w:type="spellEnd"/>
      <w:r w:rsidRPr="00DC4F35">
        <w:rPr>
          <w:i/>
          <w:iCs/>
        </w:rPr>
        <w:t xml:space="preserve">, store, or </w:t>
      </w:r>
      <w:proofErr w:type="spellStart"/>
      <w:r w:rsidRPr="00DC4F35">
        <w:rPr>
          <w:i/>
          <w:iCs/>
        </w:rPr>
        <w:t>otherwise</w:t>
      </w:r>
      <w:proofErr w:type="spellEnd"/>
      <w:r w:rsidRPr="00DC4F35">
        <w:rPr>
          <w:i/>
          <w:iCs/>
        </w:rPr>
        <w:t xml:space="preserve"> </w:t>
      </w:r>
      <w:proofErr w:type="spellStart"/>
      <w:r w:rsidRPr="00DC4F35">
        <w:rPr>
          <w:i/>
          <w:iCs/>
        </w:rPr>
        <w:t>access</w:t>
      </w:r>
      <w:proofErr w:type="spellEnd"/>
      <w:r w:rsidRPr="00DC4F35">
        <w:rPr>
          <w:i/>
          <w:iCs/>
        </w:rPr>
        <w:t xml:space="preserve"> Customer Data and Personal Data (</w:t>
      </w:r>
      <w:proofErr w:type="spellStart"/>
      <w:r w:rsidRPr="00DC4F35">
        <w:rPr>
          <w:i/>
          <w:iCs/>
        </w:rPr>
        <w:t>consisting</w:t>
      </w:r>
      <w:proofErr w:type="spellEnd"/>
      <w:r w:rsidRPr="00DC4F35">
        <w:rPr>
          <w:i/>
          <w:iCs/>
        </w:rPr>
        <w:t xml:space="preserve"> of </w:t>
      </w:r>
      <w:proofErr w:type="spellStart"/>
      <w:r w:rsidRPr="00DC4F35">
        <w:rPr>
          <w:i/>
          <w:iCs/>
        </w:rPr>
        <w:t>pseudonymized</w:t>
      </w:r>
      <w:proofErr w:type="spellEnd"/>
      <w:r w:rsidRPr="00DC4F35">
        <w:rPr>
          <w:i/>
          <w:iCs/>
        </w:rPr>
        <w:t xml:space="preserve"> </w:t>
      </w:r>
      <w:proofErr w:type="spellStart"/>
      <w:r w:rsidRPr="00DC4F35">
        <w:rPr>
          <w:i/>
          <w:iCs/>
        </w:rPr>
        <w:t>personal</w:t>
      </w:r>
      <w:proofErr w:type="spellEnd"/>
      <w:r w:rsidRPr="00DC4F35">
        <w:rPr>
          <w:i/>
          <w:iCs/>
        </w:rPr>
        <w:t xml:space="preserve"> </w:t>
      </w:r>
      <w:proofErr w:type="spellStart"/>
      <w:r w:rsidRPr="00DC4F35">
        <w:rPr>
          <w:i/>
          <w:iCs/>
        </w:rPr>
        <w:t>identifiers</w:t>
      </w:r>
      <w:proofErr w:type="spellEnd"/>
      <w:r w:rsidRPr="00DC4F35">
        <w:rPr>
          <w:i/>
          <w:iCs/>
        </w:rPr>
        <w:t>)</w:t>
      </w:r>
      <w:r w:rsidRPr="00DC4F35">
        <w:t xml:space="preserve">[…]”, imens </w:t>
      </w:r>
      <w:r w:rsidR="008E7FD1" w:rsidRPr="00DC4F35">
        <w:t>underdatabehandlerne</w:t>
      </w:r>
      <w:r w:rsidRPr="00DC4F35">
        <w:t xml:space="preserve"> hjælper med at levere den konkrete online service. Det fremgår videre, at ”</w:t>
      </w:r>
      <w:r w:rsidRPr="00DC4F35">
        <w:rPr>
          <w:i/>
          <w:iCs/>
        </w:rPr>
        <w:t>Processing Location(s)</w:t>
      </w:r>
      <w:proofErr w:type="gramStart"/>
      <w:r w:rsidRPr="00DC4F35">
        <w:rPr>
          <w:i/>
          <w:iCs/>
        </w:rPr>
        <w:t xml:space="preserve">”  </w:t>
      </w:r>
      <w:r w:rsidRPr="00DC4F35">
        <w:t>kan</w:t>
      </w:r>
      <w:proofErr w:type="gramEnd"/>
      <w:r w:rsidRPr="00DC4F35">
        <w:t xml:space="preserve"> være ”</w:t>
      </w:r>
      <w:r w:rsidRPr="00DC4F35">
        <w:rPr>
          <w:i/>
          <w:iCs/>
        </w:rPr>
        <w:t>Worldwide</w:t>
      </w:r>
      <w:r w:rsidRPr="00DC4F35">
        <w:t xml:space="preserve">”. </w:t>
      </w:r>
    </w:p>
    <w:p w14:paraId="187BBA14" w14:textId="77777777" w:rsidR="00C736BF" w:rsidRPr="00DC4F35" w:rsidRDefault="00C736BF" w:rsidP="00C736BF"/>
    <w:p w14:paraId="5D9E52AD" w14:textId="252AAAD7" w:rsidR="00C736BF" w:rsidRPr="00DC4F35" w:rsidRDefault="00C736BF" w:rsidP="00C736BF">
      <w:r w:rsidRPr="00DC4F35">
        <w:t xml:space="preserve">I forhold til nr. 2 </w:t>
      </w:r>
      <w:r w:rsidR="000E626E" w:rsidRPr="00DC4F35">
        <w:t>(”</w:t>
      </w:r>
      <w:r w:rsidR="000E626E" w:rsidRPr="00DC4F35">
        <w:rPr>
          <w:i/>
          <w:iCs/>
        </w:rPr>
        <w:t>t</w:t>
      </w:r>
      <w:r w:rsidRPr="00DC4F35">
        <w:rPr>
          <w:i/>
          <w:iCs/>
        </w:rPr>
        <w:t xml:space="preserve">hird-party subprocessors </w:t>
      </w:r>
      <w:proofErr w:type="spellStart"/>
      <w:r w:rsidRPr="00DC4F35">
        <w:rPr>
          <w:i/>
          <w:iCs/>
        </w:rPr>
        <w:t>that</w:t>
      </w:r>
      <w:proofErr w:type="spellEnd"/>
      <w:r w:rsidRPr="00DC4F35">
        <w:rPr>
          <w:i/>
          <w:iCs/>
        </w:rPr>
        <w:t xml:space="preserve"> provide </w:t>
      </w:r>
      <w:proofErr w:type="spellStart"/>
      <w:r w:rsidRPr="00DC4F35">
        <w:rPr>
          <w:i/>
          <w:iCs/>
        </w:rPr>
        <w:t>ancillary</w:t>
      </w:r>
      <w:proofErr w:type="spellEnd"/>
      <w:r w:rsidRPr="00DC4F35">
        <w:rPr>
          <w:i/>
          <w:iCs/>
        </w:rPr>
        <w:t xml:space="preserve"> services”</w:t>
      </w:r>
      <w:r w:rsidR="000E626E" w:rsidRPr="00DC4F35">
        <w:rPr>
          <w:i/>
          <w:iCs/>
        </w:rPr>
        <w:t>)</w:t>
      </w:r>
      <w:r w:rsidRPr="00DC4F35">
        <w:rPr>
          <w:i/>
          <w:iCs/>
        </w:rPr>
        <w:t xml:space="preserve">, </w:t>
      </w:r>
      <w:r w:rsidRPr="00DC4F35">
        <w:t>angiver Microsoft</w:t>
      </w:r>
      <w:r w:rsidR="00512250" w:rsidRPr="00DC4F35">
        <w:t xml:space="preserve"> Ireland</w:t>
      </w:r>
      <w:r w:rsidRPr="00DC4F35">
        <w:t>, at følgende underdatabehandler er relevant for</w:t>
      </w:r>
      <w:r w:rsidR="00AB6808" w:rsidRPr="00DC4F35">
        <w:t xml:space="preserve"> Entra ID</w:t>
      </w:r>
      <w:r w:rsidRPr="00DC4F35">
        <w:t xml:space="preserve">: </w:t>
      </w:r>
    </w:p>
    <w:p w14:paraId="1DD6A6A5" w14:textId="77777777" w:rsidR="00C736BF" w:rsidRPr="00DC4F35" w:rsidRDefault="00C736BF" w:rsidP="00C736BF"/>
    <w:p w14:paraId="4EC3BBB7" w14:textId="77777777" w:rsidR="00C736BF" w:rsidRPr="00DC4F35" w:rsidRDefault="00C736BF" w:rsidP="009963C6">
      <w:pPr>
        <w:pStyle w:val="Listeafsnit"/>
        <w:numPr>
          <w:ilvl w:val="0"/>
          <w:numId w:val="20"/>
        </w:numPr>
      </w:pPr>
      <w:r w:rsidRPr="00DC4F35">
        <w:t>Arkose Labs, Inc.</w:t>
      </w:r>
    </w:p>
    <w:p w14:paraId="46054907" w14:textId="77777777" w:rsidR="00C736BF" w:rsidRPr="00DC4F35" w:rsidRDefault="00C736BF" w:rsidP="00C736BF">
      <w:pPr>
        <w:pStyle w:val="Listeafsnit"/>
      </w:pPr>
    </w:p>
    <w:p w14:paraId="474624B4" w14:textId="79DE97D3" w:rsidR="00AB6808" w:rsidRPr="00DC4F35" w:rsidRDefault="00AB6808" w:rsidP="00C736BF">
      <w:pPr>
        <w:spacing w:line="276" w:lineRule="auto"/>
      </w:pPr>
      <w:r w:rsidRPr="00DC4F35">
        <w:t>Videre angiver Microsoft</w:t>
      </w:r>
      <w:r w:rsidR="006B77B1" w:rsidRPr="00DC4F35">
        <w:t xml:space="preserve"> Ireland</w:t>
      </w:r>
      <w:r w:rsidRPr="00DC4F35">
        <w:t xml:space="preserve"> i forhold til nr. 2, at følgende underdatabehandler er relevant for Teams, SharePoint Online og OneDrive for Business: </w:t>
      </w:r>
    </w:p>
    <w:p w14:paraId="5E7F12FC" w14:textId="77777777" w:rsidR="00AB6808" w:rsidRPr="00DC4F35" w:rsidRDefault="00AB6808" w:rsidP="00C736BF">
      <w:pPr>
        <w:spacing w:line="276" w:lineRule="auto"/>
      </w:pPr>
    </w:p>
    <w:p w14:paraId="52ABCF74" w14:textId="38C1DFF4" w:rsidR="00AB6808" w:rsidRPr="00DC4F35" w:rsidRDefault="00AB6808" w:rsidP="009963C6">
      <w:pPr>
        <w:pStyle w:val="Listeafsnit"/>
        <w:numPr>
          <w:ilvl w:val="0"/>
          <w:numId w:val="20"/>
        </w:numPr>
      </w:pPr>
      <w:proofErr w:type="spellStart"/>
      <w:r w:rsidRPr="00DC4F35">
        <w:t>Scuba</w:t>
      </w:r>
      <w:proofErr w:type="spellEnd"/>
      <w:r w:rsidRPr="00DC4F35">
        <w:t xml:space="preserve"> Analytics, Inc.</w:t>
      </w:r>
    </w:p>
    <w:p w14:paraId="29225571" w14:textId="77777777" w:rsidR="00AB6808" w:rsidRPr="00DC4F35" w:rsidRDefault="00AB6808" w:rsidP="00C736BF">
      <w:pPr>
        <w:spacing w:line="276" w:lineRule="auto"/>
      </w:pPr>
    </w:p>
    <w:p w14:paraId="53CF5A73" w14:textId="2BC5CAED" w:rsidR="00C736BF" w:rsidRPr="00DC4F35" w:rsidRDefault="00C736BF" w:rsidP="00C736BF">
      <w:pPr>
        <w:spacing w:line="276" w:lineRule="auto"/>
      </w:pPr>
      <w:r w:rsidRPr="001C19E7">
        <w:rPr>
          <w:lang w:val="en-US"/>
        </w:rPr>
        <w:t>Microsoft</w:t>
      </w:r>
      <w:r w:rsidR="00A7464C" w:rsidRPr="001C19E7">
        <w:rPr>
          <w:lang w:val="en-US"/>
        </w:rPr>
        <w:t xml:space="preserve"> Ireland</w:t>
      </w:r>
      <w:r w:rsidRPr="001C19E7">
        <w:rPr>
          <w:lang w:val="en-US"/>
        </w:rPr>
        <w:t xml:space="preserve"> </w:t>
      </w:r>
      <w:proofErr w:type="spellStart"/>
      <w:r w:rsidRPr="001C19E7">
        <w:rPr>
          <w:lang w:val="en-US"/>
        </w:rPr>
        <w:t>angiver</w:t>
      </w:r>
      <w:proofErr w:type="spellEnd"/>
      <w:r w:rsidRPr="001C19E7">
        <w:rPr>
          <w:lang w:val="en-US"/>
        </w:rPr>
        <w:t xml:space="preserve">, at </w:t>
      </w:r>
      <w:proofErr w:type="spellStart"/>
      <w:r w:rsidRPr="001C19E7">
        <w:rPr>
          <w:lang w:val="en-US"/>
        </w:rPr>
        <w:t>underdatabehandlerens</w:t>
      </w:r>
      <w:proofErr w:type="spellEnd"/>
      <w:r w:rsidRPr="001C19E7">
        <w:rPr>
          <w:lang w:val="en-US"/>
        </w:rPr>
        <w:t xml:space="preserve"> </w:t>
      </w:r>
      <w:proofErr w:type="spellStart"/>
      <w:r w:rsidRPr="001C19E7">
        <w:rPr>
          <w:lang w:val="en-US"/>
        </w:rPr>
        <w:t>rolle</w:t>
      </w:r>
      <w:proofErr w:type="spellEnd"/>
      <w:r w:rsidRPr="001C19E7">
        <w:rPr>
          <w:lang w:val="en-US"/>
        </w:rPr>
        <w:t xml:space="preserve"> er at “[…] </w:t>
      </w:r>
      <w:r w:rsidRPr="001C19E7">
        <w:rPr>
          <w:i/>
          <w:iCs/>
          <w:lang w:val="en-US"/>
        </w:rPr>
        <w:t xml:space="preserve">provide ancillary services to help support, operate, and maintain the Microsoft Online Services. In such cases, the </w:t>
      </w:r>
      <w:proofErr w:type="spellStart"/>
      <w:r w:rsidRPr="001C19E7">
        <w:rPr>
          <w:i/>
          <w:iCs/>
          <w:lang w:val="en-US"/>
        </w:rPr>
        <w:t>subprocessor</w:t>
      </w:r>
      <w:proofErr w:type="spellEnd"/>
      <w:r w:rsidRPr="001C19E7">
        <w:rPr>
          <w:i/>
          <w:iCs/>
          <w:lang w:val="en-US"/>
        </w:rPr>
        <w:t>(s) identified may process, store, or otherwise access Customer Data and Personal Data (consisting of pseudonymized personal identifiers) while providing their ancillary services.</w:t>
      </w:r>
      <w:r w:rsidRPr="001C19E7">
        <w:rPr>
          <w:lang w:val="en-US"/>
        </w:rPr>
        <w:t xml:space="preserve"> </w:t>
      </w:r>
      <w:proofErr w:type="spellStart"/>
      <w:r w:rsidRPr="001C19E7">
        <w:rPr>
          <w:i/>
          <w:iCs/>
          <w:lang w:val="en-US"/>
        </w:rPr>
        <w:t>Subprocessors</w:t>
      </w:r>
      <w:proofErr w:type="spellEnd"/>
      <w:r w:rsidRPr="001C19E7">
        <w:rPr>
          <w:i/>
          <w:iCs/>
          <w:lang w:val="en-US"/>
        </w:rPr>
        <w:t xml:space="preserve"> that only process pseudonymous personal data have been identified with an asterisk (*) in the table below.” </w:t>
      </w:r>
      <w:proofErr w:type="spellStart"/>
      <w:r w:rsidRPr="00DC4F35">
        <w:t>Scuba</w:t>
      </w:r>
      <w:proofErr w:type="spellEnd"/>
      <w:r w:rsidRPr="00DC4F35">
        <w:t xml:space="preserve"> Analytics, Inc. er markeret med en ”*” og behandler således alene </w:t>
      </w:r>
      <w:proofErr w:type="spellStart"/>
      <w:r w:rsidR="00B21596" w:rsidRPr="00DC4F35">
        <w:t>pseudonymiserede</w:t>
      </w:r>
      <w:proofErr w:type="spellEnd"/>
      <w:r w:rsidR="00B21596" w:rsidRPr="00DC4F35">
        <w:t xml:space="preserve"> personoplysninger</w:t>
      </w:r>
      <w:r w:rsidRPr="00DC4F35">
        <w:t>.</w:t>
      </w:r>
      <w:r w:rsidRPr="00DC4F35">
        <w:rPr>
          <w:i/>
          <w:iCs/>
        </w:rPr>
        <w:t xml:space="preserve"> </w:t>
      </w:r>
      <w:r w:rsidRPr="00DC4F35">
        <w:t>Det fremgår videre, at ”</w:t>
      </w:r>
      <w:r w:rsidRPr="00DC4F35">
        <w:rPr>
          <w:i/>
          <w:iCs/>
        </w:rPr>
        <w:t xml:space="preserve">Processing Location(s)” </w:t>
      </w:r>
      <w:r w:rsidRPr="00DC4F35">
        <w:t xml:space="preserve">er USA. </w:t>
      </w:r>
    </w:p>
    <w:p w14:paraId="54CDBD80" w14:textId="77777777" w:rsidR="00C736BF" w:rsidRPr="00DC4F35" w:rsidRDefault="00C736BF" w:rsidP="00C736BF"/>
    <w:p w14:paraId="73EBBB87" w14:textId="6E809990" w:rsidR="00C736BF" w:rsidRPr="00DC4F35" w:rsidRDefault="00C736BF" w:rsidP="00164FCA">
      <w:r w:rsidRPr="00DC4F35">
        <w:t xml:space="preserve">I forhold til nr. 3 </w:t>
      </w:r>
      <w:r w:rsidR="008F649D" w:rsidRPr="00DC4F35">
        <w:t>(</w:t>
      </w:r>
      <w:r w:rsidRPr="00DC4F35">
        <w:t>“</w:t>
      </w:r>
      <w:r w:rsidRPr="00DC4F35">
        <w:rPr>
          <w:i/>
          <w:iCs/>
        </w:rPr>
        <w:t xml:space="preserve">third-party </w:t>
      </w:r>
      <w:proofErr w:type="spellStart"/>
      <w:r w:rsidRPr="00DC4F35">
        <w:rPr>
          <w:i/>
          <w:iCs/>
        </w:rPr>
        <w:t>organizations</w:t>
      </w:r>
      <w:proofErr w:type="spellEnd"/>
      <w:r w:rsidRPr="00DC4F35">
        <w:rPr>
          <w:i/>
          <w:iCs/>
        </w:rPr>
        <w:t xml:space="preserve"> </w:t>
      </w:r>
      <w:proofErr w:type="spellStart"/>
      <w:r w:rsidRPr="00DC4F35">
        <w:rPr>
          <w:i/>
          <w:iCs/>
        </w:rPr>
        <w:t>that</w:t>
      </w:r>
      <w:proofErr w:type="spellEnd"/>
      <w:r w:rsidRPr="00DC4F35">
        <w:rPr>
          <w:i/>
          <w:iCs/>
        </w:rPr>
        <w:t xml:space="preserve"> provide </w:t>
      </w:r>
      <w:proofErr w:type="spellStart"/>
      <w:r w:rsidRPr="00DC4F35">
        <w:rPr>
          <w:i/>
          <w:iCs/>
        </w:rPr>
        <w:t>contract</w:t>
      </w:r>
      <w:proofErr w:type="spellEnd"/>
      <w:r w:rsidRPr="00DC4F35">
        <w:rPr>
          <w:i/>
          <w:iCs/>
        </w:rPr>
        <w:t xml:space="preserve"> </w:t>
      </w:r>
      <w:proofErr w:type="spellStart"/>
      <w:r w:rsidRPr="00DC4F35">
        <w:rPr>
          <w:i/>
          <w:iCs/>
        </w:rPr>
        <w:t>staff</w:t>
      </w:r>
      <w:proofErr w:type="spellEnd"/>
      <w:r w:rsidRPr="00DC4F35">
        <w:rPr>
          <w:i/>
          <w:iCs/>
        </w:rPr>
        <w:t xml:space="preserve"> to Microsoft“</w:t>
      </w:r>
      <w:r w:rsidR="008F649D" w:rsidRPr="00DC4F35">
        <w:rPr>
          <w:i/>
          <w:iCs/>
        </w:rPr>
        <w:t>)</w:t>
      </w:r>
      <w:r w:rsidRPr="00DC4F35">
        <w:rPr>
          <w:i/>
          <w:iCs/>
        </w:rPr>
        <w:t xml:space="preserve"> </w:t>
      </w:r>
      <w:r w:rsidRPr="00DC4F35">
        <w:t>har Microsoft</w:t>
      </w:r>
      <w:r w:rsidR="0088052E" w:rsidRPr="00DC4F35">
        <w:t xml:space="preserve"> Ireland</w:t>
      </w:r>
      <w:r w:rsidRPr="00DC4F35">
        <w:t xml:space="preserve"> ikke specificeret, hvilke af de oplistede </w:t>
      </w:r>
      <w:proofErr w:type="spellStart"/>
      <w:r w:rsidRPr="00DC4F35">
        <w:t>databehandlere</w:t>
      </w:r>
      <w:proofErr w:type="spellEnd"/>
      <w:r w:rsidRPr="00DC4F35">
        <w:t xml:space="preserve"> der kan blive relevante i forhold til </w:t>
      </w:r>
      <w:r w:rsidR="00B21596" w:rsidRPr="00DC4F35">
        <w:t>de specifikke online services</w:t>
      </w:r>
      <w:r w:rsidRPr="00DC4F35">
        <w:t xml:space="preserve">. Af listen fremgår </w:t>
      </w:r>
      <w:r w:rsidR="00B21596" w:rsidRPr="00DC4F35">
        <w:t>35</w:t>
      </w:r>
      <w:r w:rsidRPr="00DC4F35">
        <w:t xml:space="preserve"> underdatabehandlere, der således potentielt kan </w:t>
      </w:r>
      <w:r w:rsidR="00B21596" w:rsidRPr="00DC4F35">
        <w:t>foretage</w:t>
      </w:r>
      <w:r w:rsidRPr="00DC4F35">
        <w:t xml:space="preserve"> behandlingen.</w:t>
      </w:r>
      <w:r w:rsidR="00B21596" w:rsidRPr="00DC4F35">
        <w:t xml:space="preserve"> Heraf er der dog to underdatabehandlere, der kun behandler Customer Data og Personal Data relateret til Dynamics 365 og således ikke Microsoft 365.</w:t>
      </w:r>
      <w:r w:rsidRPr="00DC4F35">
        <w:t xml:space="preserve"> </w:t>
      </w:r>
      <w:r w:rsidRPr="001C19E7">
        <w:rPr>
          <w:lang w:val="en-US"/>
        </w:rPr>
        <w:t>Microsoft</w:t>
      </w:r>
      <w:r w:rsidR="00657BEF" w:rsidRPr="001C19E7">
        <w:rPr>
          <w:lang w:val="en-US"/>
        </w:rPr>
        <w:t xml:space="preserve"> Ireland</w:t>
      </w:r>
      <w:r w:rsidRPr="001C19E7">
        <w:rPr>
          <w:lang w:val="en-US"/>
        </w:rPr>
        <w:t xml:space="preserve"> </w:t>
      </w:r>
      <w:proofErr w:type="spellStart"/>
      <w:r w:rsidRPr="001C19E7">
        <w:rPr>
          <w:lang w:val="en-US"/>
        </w:rPr>
        <w:t>angiver</w:t>
      </w:r>
      <w:proofErr w:type="spellEnd"/>
      <w:r w:rsidRPr="001C19E7">
        <w:rPr>
          <w:lang w:val="en-US"/>
        </w:rPr>
        <w:t xml:space="preserve">, at </w:t>
      </w:r>
      <w:proofErr w:type="spellStart"/>
      <w:r w:rsidRPr="001C19E7">
        <w:rPr>
          <w:lang w:val="en-US"/>
        </w:rPr>
        <w:t>underdatabehandlernes</w:t>
      </w:r>
      <w:proofErr w:type="spellEnd"/>
      <w:r w:rsidRPr="001C19E7">
        <w:rPr>
          <w:lang w:val="en-US"/>
        </w:rPr>
        <w:t xml:space="preserve"> </w:t>
      </w:r>
      <w:proofErr w:type="spellStart"/>
      <w:r w:rsidRPr="001C19E7">
        <w:rPr>
          <w:lang w:val="en-US"/>
        </w:rPr>
        <w:t>rolle</w:t>
      </w:r>
      <w:proofErr w:type="spellEnd"/>
      <w:r w:rsidRPr="001C19E7">
        <w:rPr>
          <w:lang w:val="en-US"/>
        </w:rPr>
        <w:t xml:space="preserve"> er at </w:t>
      </w:r>
      <w:proofErr w:type="gramStart"/>
      <w:r w:rsidRPr="001C19E7">
        <w:rPr>
          <w:lang w:val="en-US"/>
        </w:rPr>
        <w:t>“[</w:t>
      </w:r>
      <w:proofErr w:type="gramEnd"/>
      <w:r w:rsidRPr="001C19E7">
        <w:rPr>
          <w:lang w:val="en-US"/>
        </w:rPr>
        <w:t xml:space="preserve">…] </w:t>
      </w:r>
      <w:r w:rsidRPr="001C19E7">
        <w:rPr>
          <w:i/>
          <w:iCs/>
          <w:lang w:val="en-US"/>
        </w:rPr>
        <w:t xml:space="preserve">provide contract staff who work in close coordination with Microsoft employees to operate, deliver and maintain the Microsoft Online Services. While doing so, the staff of these organizations may process Customer Data or Personal Data (consisting of pseudonymized personal identifiers) on our behalf. In all such cases the data resides only on Microsoft systems and is subject to Microsoft policies and supervision. Organizations that only process pseudonymous personal data have been identified with an asterisk (*) in the table below.”  </w:t>
      </w:r>
      <w:r w:rsidRPr="00DC4F35">
        <w:t>Det er alene få af de oplistede underdatabehandlere, der er m</w:t>
      </w:r>
      <w:r w:rsidR="00AF4777" w:rsidRPr="00DC4F35">
        <w:t>a</w:t>
      </w:r>
      <w:r w:rsidRPr="00DC4F35">
        <w:t xml:space="preserve">rkeret med ”*”. </w:t>
      </w:r>
      <w:r w:rsidR="00545877" w:rsidRPr="00DC4F35">
        <w:t xml:space="preserve">Efter det i </w:t>
      </w:r>
      <w:r w:rsidR="00545877" w:rsidRPr="00DC4F35">
        <w:rPr>
          <w:iCs/>
        </w:rPr>
        <w:t>Microsoft</w:t>
      </w:r>
      <w:r w:rsidR="00AF4777" w:rsidRPr="00DC4F35">
        <w:rPr>
          <w:iCs/>
        </w:rPr>
        <w:t xml:space="preserve"> Irelands</w:t>
      </w:r>
      <w:r w:rsidR="00545877" w:rsidRPr="00DC4F35">
        <w:rPr>
          <w:iCs/>
        </w:rPr>
        <w:t xml:space="preserve"> liste over underdatabehandlere</w:t>
      </w:r>
      <w:r w:rsidR="00545877" w:rsidRPr="00DC4F35">
        <w:t xml:space="preserve"> oplyste er u</w:t>
      </w:r>
      <w:r w:rsidR="005D66CA" w:rsidRPr="00DC4F35">
        <w:t>nderdatabehandlerne registreret på adresser i følgende lande: Irland, USA, Serbien, Israel, Indien og Kina.</w:t>
      </w:r>
      <w:r w:rsidR="00545877" w:rsidRPr="00DC4F35">
        <w:t xml:space="preserve"> </w:t>
      </w:r>
      <w:r w:rsidR="00CF00E4" w:rsidRPr="00DC4F35">
        <w:t xml:space="preserve">I den forbindelse bemærkes, at Israel er et sikkert tredjeland, hvorved forstås et land, som EU-Kommissionen på nuværende tidspunkt har vurderet som værende sikkert. </w:t>
      </w:r>
      <w:r w:rsidR="00545877" w:rsidRPr="00DC4F35">
        <w:t xml:space="preserve">I </w:t>
      </w:r>
      <w:r w:rsidR="00545877" w:rsidRPr="00DC4F35">
        <w:rPr>
          <w:iCs/>
        </w:rPr>
        <w:t>Microsoft</w:t>
      </w:r>
      <w:r w:rsidR="00322E04" w:rsidRPr="00DC4F35">
        <w:rPr>
          <w:iCs/>
        </w:rPr>
        <w:t xml:space="preserve"> Irelands</w:t>
      </w:r>
      <w:r w:rsidR="00545877" w:rsidRPr="00DC4F35">
        <w:rPr>
          <w:iCs/>
        </w:rPr>
        <w:t xml:space="preserve"> liste over underdatabehandlere </w:t>
      </w:r>
      <w:r w:rsidR="00545877" w:rsidRPr="00DC4F35">
        <w:rPr>
          <w:iCs/>
        </w:rPr>
        <w:lastRenderedPageBreak/>
        <w:t xml:space="preserve">henvises imidlertid til en artikel på Microsofts hjemmeside ”Locations of Microsoft Online Services </w:t>
      </w:r>
      <w:proofErr w:type="spellStart"/>
      <w:r w:rsidR="00545877" w:rsidRPr="00DC4F35">
        <w:rPr>
          <w:iCs/>
        </w:rPr>
        <w:t>Personnel</w:t>
      </w:r>
      <w:proofErr w:type="spellEnd"/>
      <w:r w:rsidR="00545877" w:rsidRPr="00DC4F35">
        <w:rPr>
          <w:iCs/>
        </w:rPr>
        <w:t xml:space="preserve"> with Remote Access to Data” af 9. januar 2024</w:t>
      </w:r>
      <w:r w:rsidR="00913D17" w:rsidRPr="00DC4F35">
        <w:rPr>
          <w:rStyle w:val="Fodnotehenvisning"/>
          <w:iCs/>
        </w:rPr>
        <w:footnoteReference w:id="12"/>
      </w:r>
      <w:r w:rsidR="00545877" w:rsidRPr="00DC4F35">
        <w:rPr>
          <w:iCs/>
        </w:rPr>
        <w:t>, hvoraf det fremgår, at ”</w:t>
      </w:r>
      <w:proofErr w:type="spellStart"/>
      <w:r w:rsidR="00545877" w:rsidRPr="00DC4F35">
        <w:rPr>
          <w:iCs/>
        </w:rPr>
        <w:t>Contract</w:t>
      </w:r>
      <w:proofErr w:type="spellEnd"/>
      <w:r w:rsidR="00545877" w:rsidRPr="00DC4F35">
        <w:rPr>
          <w:iCs/>
        </w:rPr>
        <w:t xml:space="preserve"> </w:t>
      </w:r>
      <w:proofErr w:type="spellStart"/>
      <w:r w:rsidR="00545877" w:rsidRPr="00DC4F35">
        <w:rPr>
          <w:iCs/>
        </w:rPr>
        <w:t>Staff</w:t>
      </w:r>
      <w:proofErr w:type="spellEnd"/>
      <w:r w:rsidR="00545877" w:rsidRPr="00DC4F35">
        <w:rPr>
          <w:iCs/>
        </w:rPr>
        <w:t xml:space="preserve">, </w:t>
      </w:r>
      <w:proofErr w:type="spellStart"/>
      <w:r w:rsidR="00545877" w:rsidRPr="00DC4F35">
        <w:rPr>
          <w:iCs/>
        </w:rPr>
        <w:t>Personnel</w:t>
      </w:r>
      <w:proofErr w:type="spellEnd"/>
      <w:r w:rsidR="00545877" w:rsidRPr="00DC4F35">
        <w:rPr>
          <w:iCs/>
        </w:rPr>
        <w:t xml:space="preserve"> Locations” kan være alt fra </w:t>
      </w:r>
      <w:r w:rsidR="00913D17" w:rsidRPr="00DC4F35">
        <w:rPr>
          <w:iCs/>
        </w:rPr>
        <w:t>flere europæiske lande til Guatemala, El Salvador og Panama.</w:t>
      </w:r>
    </w:p>
    <w:p w14:paraId="358616B1" w14:textId="77777777" w:rsidR="00C736BF" w:rsidRPr="00DC4F35" w:rsidRDefault="00C736BF" w:rsidP="00164FCA"/>
    <w:p w14:paraId="74214676" w14:textId="33B72648" w:rsidR="00C736BF" w:rsidRPr="00DC4F35" w:rsidRDefault="00C736BF" w:rsidP="00164FCA">
      <w:r w:rsidRPr="00DC4F35">
        <w:t xml:space="preserve">Det fremgår videre af </w:t>
      </w:r>
      <w:r w:rsidRPr="00DC4F35">
        <w:rPr>
          <w:iCs/>
        </w:rPr>
        <w:t>Microsoft</w:t>
      </w:r>
      <w:r w:rsidR="00895816" w:rsidRPr="00DC4F35">
        <w:rPr>
          <w:iCs/>
        </w:rPr>
        <w:t xml:space="preserve"> Irelands</w:t>
      </w:r>
      <w:r w:rsidRPr="00DC4F35">
        <w:rPr>
          <w:iCs/>
        </w:rPr>
        <w:t xml:space="preserve"> liste over underdatabehandlere</w:t>
      </w:r>
      <w:r w:rsidRPr="00DC4F35">
        <w:t>, at Microsoft</w:t>
      </w:r>
      <w:r w:rsidR="00E558A7" w:rsidRPr="00DC4F35">
        <w:t xml:space="preserve"> Ireland</w:t>
      </w:r>
      <w:r w:rsidRPr="00DC4F35">
        <w:t xml:space="preserve"> har en række datacentre placeret forskellige steder i verden. </w:t>
      </w:r>
      <w:r w:rsidRPr="001C19E7">
        <w:rPr>
          <w:lang w:val="en-US"/>
        </w:rPr>
        <w:t>Microsoft</w:t>
      </w:r>
      <w:r w:rsidR="00E558A7" w:rsidRPr="001C19E7">
        <w:rPr>
          <w:lang w:val="en-US"/>
        </w:rPr>
        <w:t xml:space="preserve"> Ireland</w:t>
      </w:r>
      <w:r w:rsidRPr="001C19E7">
        <w:rPr>
          <w:lang w:val="en-US"/>
        </w:rPr>
        <w:t xml:space="preserve"> </w:t>
      </w:r>
      <w:proofErr w:type="spellStart"/>
      <w:r w:rsidRPr="001C19E7">
        <w:rPr>
          <w:lang w:val="en-US"/>
        </w:rPr>
        <w:t>angiver</w:t>
      </w:r>
      <w:proofErr w:type="spellEnd"/>
      <w:r w:rsidRPr="001C19E7">
        <w:rPr>
          <w:lang w:val="en-US"/>
        </w:rPr>
        <w:t xml:space="preserve">, at </w:t>
      </w:r>
      <w:proofErr w:type="spellStart"/>
      <w:r w:rsidRPr="001C19E7">
        <w:rPr>
          <w:lang w:val="en-US"/>
        </w:rPr>
        <w:t>datacentrene</w:t>
      </w:r>
      <w:proofErr w:type="spellEnd"/>
      <w:r w:rsidRPr="001C19E7">
        <w:rPr>
          <w:lang w:val="en-US"/>
        </w:rPr>
        <w:t xml:space="preserve"> “[…] </w:t>
      </w:r>
      <w:r w:rsidRPr="001C19E7">
        <w:rPr>
          <w:i/>
          <w:iCs/>
          <w:lang w:val="en-US"/>
        </w:rPr>
        <w:t>provide the datacenter infrastructure on which the Microsoft Online Services run. The data within datacenters is encrypted, and no personnel within the datacenters are permitted to access it.</w:t>
      </w:r>
      <w:r w:rsidR="00E558A7" w:rsidRPr="001C19E7">
        <w:rPr>
          <w:i/>
          <w:iCs/>
          <w:lang w:val="en-US"/>
        </w:rPr>
        <w:t xml:space="preserve"> </w:t>
      </w:r>
      <w:r w:rsidRPr="00C83C91">
        <w:rPr>
          <w:i/>
          <w:iCs/>
          <w:lang w:val="en-US"/>
        </w:rPr>
        <w:t xml:space="preserve">[…]”.  </w:t>
      </w:r>
      <w:r w:rsidRPr="00C83C91">
        <w:rPr>
          <w:lang w:val="en-US"/>
        </w:rPr>
        <w:t>Microsoft</w:t>
      </w:r>
      <w:r w:rsidR="00E558A7" w:rsidRPr="00C83C91">
        <w:rPr>
          <w:lang w:val="en-US"/>
        </w:rPr>
        <w:t xml:space="preserve"> Ireland</w:t>
      </w:r>
      <w:r w:rsidRPr="00C83C91">
        <w:rPr>
          <w:lang w:val="en-US"/>
        </w:rPr>
        <w:t xml:space="preserve"> </w:t>
      </w:r>
      <w:proofErr w:type="spellStart"/>
      <w:r w:rsidRPr="00C83C91">
        <w:rPr>
          <w:lang w:val="en-US"/>
        </w:rPr>
        <w:t>angiver</w:t>
      </w:r>
      <w:proofErr w:type="spellEnd"/>
      <w:r w:rsidRPr="00C83C91">
        <w:rPr>
          <w:lang w:val="en-US"/>
        </w:rPr>
        <w:t xml:space="preserve">, at </w:t>
      </w:r>
      <w:proofErr w:type="spellStart"/>
      <w:r w:rsidRPr="00C83C91">
        <w:rPr>
          <w:lang w:val="en-US"/>
        </w:rPr>
        <w:t>spørgsmålet</w:t>
      </w:r>
      <w:proofErr w:type="spellEnd"/>
      <w:r w:rsidRPr="00C83C91">
        <w:rPr>
          <w:lang w:val="en-US"/>
        </w:rPr>
        <w:t xml:space="preserve"> om, </w:t>
      </w:r>
      <w:proofErr w:type="spellStart"/>
      <w:r w:rsidRPr="00C83C91">
        <w:rPr>
          <w:lang w:val="en-US"/>
        </w:rPr>
        <w:t>hvilke</w:t>
      </w:r>
      <w:proofErr w:type="spellEnd"/>
      <w:r w:rsidRPr="00C83C91">
        <w:rPr>
          <w:lang w:val="en-US"/>
        </w:rPr>
        <w:t xml:space="preserve"> </w:t>
      </w:r>
      <w:proofErr w:type="spellStart"/>
      <w:r w:rsidRPr="00C83C91">
        <w:rPr>
          <w:lang w:val="en-US"/>
        </w:rPr>
        <w:t>datacentre</w:t>
      </w:r>
      <w:proofErr w:type="spellEnd"/>
      <w:r w:rsidRPr="00C83C91">
        <w:rPr>
          <w:lang w:val="en-US"/>
        </w:rPr>
        <w:t xml:space="preserve"> der er </w:t>
      </w:r>
      <w:proofErr w:type="spellStart"/>
      <w:r w:rsidRPr="00C83C91">
        <w:rPr>
          <w:lang w:val="en-US"/>
        </w:rPr>
        <w:t>relevante</w:t>
      </w:r>
      <w:proofErr w:type="spellEnd"/>
      <w:r w:rsidRPr="00C83C91">
        <w:rPr>
          <w:lang w:val="en-US"/>
        </w:rPr>
        <w:t xml:space="preserve"> for den </w:t>
      </w:r>
      <w:proofErr w:type="spellStart"/>
      <w:r w:rsidRPr="00C83C91">
        <w:rPr>
          <w:lang w:val="en-US"/>
        </w:rPr>
        <w:t>specifikke</w:t>
      </w:r>
      <w:proofErr w:type="spellEnd"/>
      <w:r w:rsidRPr="00C83C91">
        <w:rPr>
          <w:lang w:val="en-US"/>
        </w:rPr>
        <w:t xml:space="preserve"> </w:t>
      </w:r>
      <w:proofErr w:type="spellStart"/>
      <w:r w:rsidRPr="00C83C91">
        <w:rPr>
          <w:lang w:val="en-US"/>
        </w:rPr>
        <w:t>behandling</w:t>
      </w:r>
      <w:proofErr w:type="spellEnd"/>
      <w:r w:rsidRPr="00C83C91">
        <w:rPr>
          <w:lang w:val="en-US"/>
        </w:rPr>
        <w:t xml:space="preserve">, </w:t>
      </w:r>
      <w:proofErr w:type="spellStart"/>
      <w:r w:rsidRPr="00C83C91">
        <w:rPr>
          <w:lang w:val="en-US"/>
        </w:rPr>
        <w:t>afhænger</w:t>
      </w:r>
      <w:proofErr w:type="spellEnd"/>
      <w:r w:rsidRPr="00C83C91">
        <w:rPr>
          <w:lang w:val="en-US"/>
        </w:rPr>
        <w:t xml:space="preserve"> </w:t>
      </w:r>
      <w:proofErr w:type="spellStart"/>
      <w:r w:rsidRPr="00C83C91">
        <w:rPr>
          <w:lang w:val="en-US"/>
        </w:rPr>
        <w:t>af</w:t>
      </w:r>
      <w:proofErr w:type="spellEnd"/>
      <w:r w:rsidRPr="00C83C91">
        <w:rPr>
          <w:lang w:val="en-US"/>
        </w:rPr>
        <w:t xml:space="preserve"> “[…] </w:t>
      </w:r>
      <w:r w:rsidRPr="00C83C91">
        <w:rPr>
          <w:i/>
          <w:iCs/>
          <w:lang w:val="en-US"/>
        </w:rPr>
        <w:t>regions in which you deploy or use your Online Services (when regional selection is available).”</w:t>
      </w:r>
      <w:r w:rsidR="00FC4DD5" w:rsidRPr="00C83C91">
        <w:rPr>
          <w:lang w:val="en-US"/>
        </w:rPr>
        <w:t xml:space="preserve"> </w:t>
      </w:r>
      <w:r w:rsidR="00227749" w:rsidRPr="00DC4F35">
        <w:t>Det</w:t>
      </w:r>
      <w:r w:rsidR="00FC4DD5" w:rsidRPr="00DC4F35">
        <w:t xml:space="preserve"> bemærkes, som beskrevet ovenfor i afsnit </w:t>
      </w:r>
      <w:r w:rsidR="00DB5315" w:rsidRPr="00DC4F35">
        <w:fldChar w:fldCharType="begin"/>
      </w:r>
      <w:r w:rsidR="00DB5315" w:rsidRPr="00DC4F35">
        <w:instrText xml:space="preserve"> REF _Ref167400050 \r \h </w:instrText>
      </w:r>
      <w:r w:rsidR="00DB5315" w:rsidRPr="00DC4F35">
        <w:fldChar w:fldCharType="separate"/>
      </w:r>
      <w:r w:rsidR="00C05EBE">
        <w:t>3.1</w:t>
      </w:r>
      <w:r w:rsidR="00DB5315" w:rsidRPr="00DC4F35">
        <w:fldChar w:fldCharType="end"/>
      </w:r>
      <w:r w:rsidR="00FC4DD5" w:rsidRPr="00DC4F35">
        <w:t>, at Microsoft</w:t>
      </w:r>
      <w:r w:rsidR="00E558A7" w:rsidRPr="00DC4F35">
        <w:t xml:space="preserve"> Irelands</w:t>
      </w:r>
      <w:r w:rsidR="00FC4DD5" w:rsidRPr="00DC4F35">
        <w:t xml:space="preserve"> EU Data </w:t>
      </w:r>
      <w:proofErr w:type="spellStart"/>
      <w:r w:rsidR="00FC4DD5" w:rsidRPr="00DC4F35">
        <w:t>Boundary</w:t>
      </w:r>
      <w:proofErr w:type="spellEnd"/>
      <w:r w:rsidR="00FC4DD5" w:rsidRPr="00DC4F35">
        <w:t xml:space="preserve"> Service gælder – dog med visse undtagelser – i forhold til Customer Data.</w:t>
      </w:r>
    </w:p>
    <w:p w14:paraId="3B99059E" w14:textId="77777777" w:rsidR="00C736BF" w:rsidRPr="00DC4F35" w:rsidRDefault="00C736BF" w:rsidP="00164FCA"/>
    <w:p w14:paraId="787955D6" w14:textId="3A6EE39D" w:rsidR="00C736BF" w:rsidRPr="00DC4F35" w:rsidRDefault="00C736BF" w:rsidP="00C736BF">
      <w:pPr>
        <w:rPr>
          <w:iCs/>
        </w:rPr>
      </w:pPr>
      <w:r w:rsidRPr="00DC4F35">
        <w:rPr>
          <w:iCs/>
        </w:rPr>
        <w:t xml:space="preserve">Det kan på baggrund af ovenstående således konkluderes, at Microsoft </w:t>
      </w:r>
      <w:r w:rsidR="00A32D54" w:rsidRPr="00DC4F35">
        <w:rPr>
          <w:iCs/>
        </w:rPr>
        <w:t xml:space="preserve">Ireland </w:t>
      </w:r>
      <w:r w:rsidRPr="00DC4F35">
        <w:rPr>
          <w:iCs/>
        </w:rPr>
        <w:t xml:space="preserve">og dennes underdatabehandlere potentielt </w:t>
      </w:r>
      <w:r w:rsidR="00082F56" w:rsidRPr="00DC4F35">
        <w:rPr>
          <w:iCs/>
        </w:rPr>
        <w:t xml:space="preserve">kan </w:t>
      </w:r>
      <w:r w:rsidRPr="00DC4F35">
        <w:rPr>
          <w:iCs/>
        </w:rPr>
        <w:t xml:space="preserve">behandle personoplysninger </w:t>
      </w:r>
      <w:r w:rsidR="001A69A8" w:rsidRPr="00DC4F35">
        <w:rPr>
          <w:iCs/>
        </w:rPr>
        <w:t>i</w:t>
      </w:r>
      <w:r w:rsidRPr="00DC4F35">
        <w:rPr>
          <w:iCs/>
        </w:rPr>
        <w:t xml:space="preserve"> hele verden, herunder USA, ligesom Microsoft</w:t>
      </w:r>
      <w:r w:rsidR="001A69A8" w:rsidRPr="00DC4F35">
        <w:rPr>
          <w:iCs/>
        </w:rPr>
        <w:t xml:space="preserve"> Ireland</w:t>
      </w:r>
      <w:r w:rsidRPr="00DC4F35">
        <w:rPr>
          <w:iCs/>
        </w:rPr>
        <w:t xml:space="preserve"> ikke konkret oplister, hvilke underdatabehandlere der vil behandle </w:t>
      </w:r>
      <w:r w:rsidR="00FC4DD5" w:rsidRPr="00DC4F35">
        <w:rPr>
          <w:iCs/>
        </w:rPr>
        <w:t xml:space="preserve">hvilke </w:t>
      </w:r>
      <w:r w:rsidRPr="00DC4F35">
        <w:rPr>
          <w:iCs/>
        </w:rPr>
        <w:t xml:space="preserve">personoplysninger specifikt i forbindelse med </w:t>
      </w:r>
      <w:r w:rsidR="00FC4DD5" w:rsidRPr="00DC4F35">
        <w:rPr>
          <w:iCs/>
        </w:rPr>
        <w:t>De Dataansvarliges</w:t>
      </w:r>
      <w:r w:rsidRPr="00DC4F35">
        <w:rPr>
          <w:iCs/>
        </w:rPr>
        <w:t xml:space="preserve"> brug af </w:t>
      </w:r>
      <w:r w:rsidR="00D74A20" w:rsidRPr="00DC4F35">
        <w:t>Microsoft 365</w:t>
      </w:r>
      <w:r w:rsidRPr="00DC4F35">
        <w:rPr>
          <w:iCs/>
        </w:rPr>
        <w:t xml:space="preserve">. Der kan hermed potentielt ske en overførsel til ethvert tredjeland i verden. </w:t>
      </w:r>
    </w:p>
    <w:p w14:paraId="61DEF1F8" w14:textId="77777777" w:rsidR="00C736BF" w:rsidRPr="00DC4F35" w:rsidRDefault="00C736BF" w:rsidP="00C736BF">
      <w:pPr>
        <w:rPr>
          <w:iCs/>
        </w:rPr>
      </w:pPr>
    </w:p>
    <w:p w14:paraId="40F5A16B" w14:textId="52318863" w:rsidR="00C736BF" w:rsidRPr="00DC4F35" w:rsidRDefault="00D47CCB" w:rsidP="00C736BF">
      <w:pPr>
        <w:rPr>
          <w:iCs/>
        </w:rPr>
      </w:pPr>
      <w:r w:rsidRPr="00DC4F35">
        <w:rPr>
          <w:iCs/>
        </w:rPr>
        <w:t>Statens It</w:t>
      </w:r>
      <w:r w:rsidR="00D74A20" w:rsidRPr="00DC4F35">
        <w:rPr>
          <w:iCs/>
        </w:rPr>
        <w:t xml:space="preserve"> og Ø</w:t>
      </w:r>
      <w:r w:rsidRPr="00DC4F35">
        <w:rPr>
          <w:iCs/>
        </w:rPr>
        <w:t>konomistyrelsen</w:t>
      </w:r>
      <w:r w:rsidR="00C736BF" w:rsidRPr="00DC4F35">
        <w:rPr>
          <w:iCs/>
        </w:rPr>
        <w:t xml:space="preserve"> har overvejet, om det forhold, at Microsoft</w:t>
      </w:r>
      <w:r w:rsidR="00A72427" w:rsidRPr="00DC4F35">
        <w:rPr>
          <w:iCs/>
        </w:rPr>
        <w:t xml:space="preserve"> Ireland</w:t>
      </w:r>
      <w:r w:rsidR="00C736BF" w:rsidRPr="00DC4F35">
        <w:rPr>
          <w:iCs/>
        </w:rPr>
        <w:t xml:space="preserve"> ikke oplyser, hv</w:t>
      </w:r>
      <w:r w:rsidR="00277FF9" w:rsidRPr="00DC4F35">
        <w:rPr>
          <w:iCs/>
        </w:rPr>
        <w:t>ilke konkrete underdatabehandlere</w:t>
      </w:r>
      <w:r w:rsidR="00C736BF" w:rsidRPr="00DC4F35">
        <w:rPr>
          <w:iCs/>
        </w:rPr>
        <w:t xml:space="preserve"> der vil modtage personoplysninger i forbindelse med </w:t>
      </w:r>
      <w:r w:rsidR="00277FF9" w:rsidRPr="00DC4F35">
        <w:rPr>
          <w:iCs/>
        </w:rPr>
        <w:t>De Dataansvarliges</w:t>
      </w:r>
      <w:r w:rsidR="00C736BF" w:rsidRPr="00DC4F35">
        <w:rPr>
          <w:iCs/>
        </w:rPr>
        <w:t xml:space="preserve"> brug, herunder hvilke lande der kan overføres personoplysninger til, selvstændigt medfører, at brugen af </w:t>
      </w:r>
      <w:r w:rsidR="00D74A20" w:rsidRPr="00DC4F35">
        <w:t>Microsoft 365</w:t>
      </w:r>
      <w:r w:rsidR="00277FF9" w:rsidRPr="00DC4F35">
        <w:t xml:space="preserve"> </w:t>
      </w:r>
      <w:r w:rsidR="00C736BF" w:rsidRPr="00DC4F35">
        <w:rPr>
          <w:iCs/>
        </w:rPr>
        <w:t>ikke er lovlig. Det fremgår således bl.a. af Datatilsynets tilsynsskema vedr. cloud</w:t>
      </w:r>
      <w:r w:rsidR="00C736BF" w:rsidRPr="00DC4F35">
        <w:rPr>
          <w:rStyle w:val="Fodnotehenvisning"/>
          <w:iCs/>
        </w:rPr>
        <w:footnoteReference w:id="13"/>
      </w:r>
      <w:r w:rsidR="00C736BF" w:rsidRPr="00DC4F35">
        <w:rPr>
          <w:iCs/>
        </w:rPr>
        <w:t xml:space="preserve">, at en dataansvarlig skal have et komplet overblik over </w:t>
      </w:r>
      <w:proofErr w:type="spellStart"/>
      <w:r w:rsidR="00C736BF" w:rsidRPr="00DC4F35">
        <w:rPr>
          <w:iCs/>
        </w:rPr>
        <w:t>databehandlere</w:t>
      </w:r>
      <w:proofErr w:type="spellEnd"/>
      <w:r w:rsidR="00C736BF" w:rsidRPr="00DC4F35">
        <w:rPr>
          <w:iCs/>
        </w:rPr>
        <w:t xml:space="preserve"> – foruden selve cloudleverandøren. Datatilsynet angiver </w:t>
      </w:r>
      <w:r w:rsidR="00426485" w:rsidRPr="00DC4F35">
        <w:rPr>
          <w:iCs/>
        </w:rPr>
        <w:t xml:space="preserve">herom </w:t>
      </w:r>
      <w:r w:rsidR="00C736BF" w:rsidRPr="00DC4F35">
        <w:rPr>
          <w:iCs/>
        </w:rPr>
        <w:t>følgende i tilsynsskemaets punkt 24:</w:t>
      </w:r>
    </w:p>
    <w:p w14:paraId="2A3E560C" w14:textId="77777777" w:rsidR="00C736BF" w:rsidRPr="00DC4F35" w:rsidRDefault="00C736BF" w:rsidP="00C736BF">
      <w:pPr>
        <w:ind w:left="1304"/>
        <w:rPr>
          <w:i/>
        </w:rPr>
      </w:pPr>
    </w:p>
    <w:p w14:paraId="3477CB79" w14:textId="77777777" w:rsidR="00C736BF" w:rsidRPr="00DC4F35" w:rsidRDefault="00C736BF" w:rsidP="00A556F1">
      <w:pPr>
        <w:pStyle w:val="Citat"/>
        <w:ind w:left="1276"/>
      </w:pPr>
      <w:r w:rsidRPr="00DC4F35">
        <w:t xml:space="preserve">"Som den dataansvarlige skal du have et komplet overblik over, hvilke </w:t>
      </w:r>
      <w:proofErr w:type="spellStart"/>
      <w:r w:rsidRPr="00DC4F35">
        <w:t>databehandlere</w:t>
      </w:r>
      <w:proofErr w:type="spellEnd"/>
      <w:r w:rsidRPr="00DC4F35">
        <w:t xml:space="preserve"> – foruden selve cloudleverandøren – I overlader behandling af personoplysninger til. I skal således kortlægge alle de underleverandører, som cloudleverandøren benytter, og </w:t>
      </w:r>
      <w:proofErr w:type="spellStart"/>
      <w:r w:rsidRPr="00DC4F35">
        <w:t>eventulle</w:t>
      </w:r>
      <w:proofErr w:type="spellEnd"/>
      <w:r w:rsidRPr="00DC4F35">
        <w:t xml:space="preserve"> yderligere underleverandører, der måtte findes i leverandørkæden."</w:t>
      </w:r>
    </w:p>
    <w:p w14:paraId="25B8E000" w14:textId="77777777" w:rsidR="00C736BF" w:rsidRPr="00DC4F35" w:rsidRDefault="00C736BF" w:rsidP="00C736BF">
      <w:pPr>
        <w:rPr>
          <w:iCs/>
        </w:rPr>
      </w:pPr>
      <w:r w:rsidRPr="00DC4F35">
        <w:rPr>
          <w:iCs/>
        </w:rPr>
        <w:lastRenderedPageBreak/>
        <w:t xml:space="preserve">EDPB anfører i tråd med ovenstående i sin vejledning om dataansvarlige og </w:t>
      </w:r>
      <w:proofErr w:type="spellStart"/>
      <w:r w:rsidRPr="00DC4F35">
        <w:rPr>
          <w:iCs/>
        </w:rPr>
        <w:t>databehandlere</w:t>
      </w:r>
      <w:proofErr w:type="spellEnd"/>
      <w:r w:rsidRPr="00DC4F35">
        <w:rPr>
          <w:rStyle w:val="Fodnotehenvisning"/>
          <w:iCs/>
        </w:rPr>
        <w:footnoteReference w:id="14"/>
      </w:r>
      <w:r w:rsidRPr="00DC4F35">
        <w:rPr>
          <w:iCs/>
        </w:rPr>
        <w:t>, punkt 152, bl.a. følgende:</w:t>
      </w:r>
    </w:p>
    <w:p w14:paraId="407625C2" w14:textId="77777777" w:rsidR="00C736BF" w:rsidRPr="00DC4F35" w:rsidRDefault="00C736BF" w:rsidP="00C736BF">
      <w:pPr>
        <w:rPr>
          <w:iCs/>
        </w:rPr>
      </w:pPr>
    </w:p>
    <w:p w14:paraId="0F936171" w14:textId="77777777" w:rsidR="00C736BF" w:rsidRPr="001C19E7" w:rsidRDefault="00C736BF" w:rsidP="00A556F1">
      <w:pPr>
        <w:pStyle w:val="Citat"/>
        <w:ind w:left="1276"/>
        <w:rPr>
          <w:lang w:val="en-US"/>
        </w:rPr>
      </w:pPr>
      <w:r w:rsidRPr="001C19E7">
        <w:rPr>
          <w:lang w:val="en-US" w:eastAsia="da-DK"/>
        </w:rPr>
        <w:t xml:space="preserve">“[…] In order to make the assessment and the decision whether to </w:t>
      </w:r>
      <w:proofErr w:type="spellStart"/>
      <w:r w:rsidRPr="001C19E7">
        <w:rPr>
          <w:lang w:val="en-US" w:eastAsia="da-DK"/>
        </w:rPr>
        <w:t>authorise</w:t>
      </w:r>
      <w:proofErr w:type="spellEnd"/>
      <w:r w:rsidRPr="001C19E7">
        <w:rPr>
          <w:lang w:val="en-US" w:eastAsia="da-DK"/>
        </w:rPr>
        <w:t xml:space="preserve"> subcontracting, a list of intended sub-processors (including per each: their locations, what they will be doing and proof of what safeguards have been implemented) will have to be provided to the data controller by the processor.69".</w:t>
      </w:r>
    </w:p>
    <w:p w14:paraId="240DD6FD" w14:textId="77777777" w:rsidR="00C736BF" w:rsidRPr="00DC4F35" w:rsidRDefault="00C736BF" w:rsidP="00C736BF">
      <w:pPr>
        <w:rPr>
          <w:rFonts w:eastAsia="Times New Roman" w:cs="Segoe UI"/>
          <w:lang w:eastAsia="da-DK"/>
        </w:rPr>
      </w:pPr>
      <w:r w:rsidRPr="00DC4F35">
        <w:rPr>
          <w:rFonts w:eastAsia="Times New Roman" w:cs="Segoe UI"/>
          <w:lang w:eastAsia="da-DK"/>
        </w:rPr>
        <w:t xml:space="preserve">I note 69 anføres der i tillæg hertil følgende: </w:t>
      </w:r>
    </w:p>
    <w:p w14:paraId="41FD5E75" w14:textId="77777777" w:rsidR="00C736BF" w:rsidRPr="00DC4F35" w:rsidRDefault="00C736BF" w:rsidP="00C736BF">
      <w:pPr>
        <w:rPr>
          <w:rFonts w:eastAsia="Times New Roman" w:cs="Segoe UI"/>
          <w:lang w:eastAsia="da-DK"/>
        </w:rPr>
      </w:pPr>
    </w:p>
    <w:p w14:paraId="301D9156" w14:textId="77777777" w:rsidR="00C736BF" w:rsidRPr="001C19E7" w:rsidRDefault="00C736BF" w:rsidP="00A556F1">
      <w:pPr>
        <w:pStyle w:val="Citat"/>
        <w:ind w:left="1276"/>
        <w:rPr>
          <w:lang w:val="en-US" w:eastAsia="da-DK"/>
        </w:rPr>
      </w:pPr>
      <w:r w:rsidRPr="001C19E7">
        <w:rPr>
          <w:lang w:val="en-US" w:eastAsia="da-DK"/>
        </w:rPr>
        <w:t>"This information is needed, so that the controller can comply with the accountability principle in Article 24 and with provisions of Articles 28(1), 32 and Chapter V of the GDPR."</w:t>
      </w:r>
    </w:p>
    <w:p w14:paraId="795D5A1E" w14:textId="0AC1C733" w:rsidR="00C736BF" w:rsidRPr="00DC4F35" w:rsidRDefault="00C736BF" w:rsidP="00C736BF">
      <w:pPr>
        <w:rPr>
          <w:iCs/>
        </w:rPr>
      </w:pPr>
      <w:r w:rsidRPr="00DC4F35">
        <w:rPr>
          <w:iCs/>
        </w:rPr>
        <w:t xml:space="preserve">Det kan af Datatilsynets cloudvejledning dog udledes, at den dataansvarlige kan anvende et </w:t>
      </w:r>
      <w:proofErr w:type="spellStart"/>
      <w:r w:rsidRPr="00DC4F35">
        <w:rPr>
          <w:iCs/>
        </w:rPr>
        <w:t>worst</w:t>
      </w:r>
      <w:proofErr w:type="spellEnd"/>
      <w:r w:rsidRPr="00DC4F35">
        <w:rPr>
          <w:iCs/>
        </w:rPr>
        <w:t xml:space="preserve"> case scenarie, når denne skal vurdere </w:t>
      </w:r>
      <w:r w:rsidRPr="00DC4F35">
        <w:t xml:space="preserve">lovgivning og praksis for de tredjelande, hvor en påtænkt cloudleverandør og dennes eventuelle underdatabehandlere befinder sig. Det fremgår af vejledningens side </w:t>
      </w:r>
      <w:r w:rsidRPr="00DC4F35">
        <w:rPr>
          <w:iCs/>
        </w:rPr>
        <w:t>20, at:</w:t>
      </w:r>
    </w:p>
    <w:p w14:paraId="0D5734DA" w14:textId="77777777" w:rsidR="00C736BF" w:rsidRPr="00DC4F35" w:rsidRDefault="00C736BF" w:rsidP="00A556F1">
      <w:pPr>
        <w:tabs>
          <w:tab w:val="left" w:pos="1276"/>
        </w:tabs>
        <w:rPr>
          <w:iCs/>
        </w:rPr>
      </w:pPr>
    </w:p>
    <w:p w14:paraId="65933DB9" w14:textId="77777777" w:rsidR="00C736BF" w:rsidRPr="00DC4F35" w:rsidRDefault="00C736BF" w:rsidP="00A556F1">
      <w:pPr>
        <w:pStyle w:val="Citat"/>
        <w:tabs>
          <w:tab w:val="left" w:pos="1276"/>
        </w:tabs>
        <w:ind w:left="1276"/>
        <w:rPr>
          <w:lang w:eastAsia="da-DK"/>
        </w:rPr>
      </w:pPr>
      <w:r w:rsidRPr="00DC4F35">
        <w:rPr>
          <w:lang w:eastAsia="da-DK"/>
        </w:rPr>
        <w:t>"Datatilsynet forstår, at det kan være en ganske omfangsrig øvelse at vurdere lovgivning og praksis i en lang række tredjelande, hvor din påtænkte cloudleverandør og dennes eventuelle underdatabehandlere befinder sig. Det er i den forbindelse Datatilsynets opfattelse, at du kan basere din vurdering på et ”</w:t>
      </w:r>
      <w:proofErr w:type="spellStart"/>
      <w:r w:rsidRPr="00DC4F35">
        <w:rPr>
          <w:lang w:eastAsia="da-DK"/>
        </w:rPr>
        <w:t>worst</w:t>
      </w:r>
      <w:proofErr w:type="spellEnd"/>
      <w:r w:rsidRPr="00DC4F35">
        <w:rPr>
          <w:lang w:eastAsia="da-DK"/>
        </w:rPr>
        <w:t xml:space="preserve"> case scenario”, dvs. at alle de omhandlede tredjelande har ”problematisk” lovgivning og/eller praksis og på den baggrund nærmere vurdere, hvilke supplerende tekniske foranstaltninger der skal træffes for at sikre et beskyttelsesniveau, der i det væsentlige svarer til niveauet i EU/EØS."</w:t>
      </w:r>
    </w:p>
    <w:p w14:paraId="5CB3DAB1" w14:textId="1200D763" w:rsidR="00C736BF" w:rsidRPr="00DC4F35" w:rsidRDefault="00C736BF" w:rsidP="00C736BF">
      <w:pPr>
        <w:rPr>
          <w:lang w:eastAsia="da-DK"/>
        </w:rPr>
      </w:pPr>
      <w:r w:rsidRPr="00DC4F35">
        <w:rPr>
          <w:rFonts w:eastAsia="Times New Roman" w:cs="Segoe UI"/>
          <w:lang w:eastAsia="da-DK"/>
        </w:rPr>
        <w:t xml:space="preserve">Ved anvendelsen af </w:t>
      </w:r>
      <w:r w:rsidRPr="00DC4F35">
        <w:t>et ”</w:t>
      </w:r>
      <w:proofErr w:type="spellStart"/>
      <w:r w:rsidRPr="00DC4F35">
        <w:rPr>
          <w:i/>
          <w:iCs/>
        </w:rPr>
        <w:t>worst</w:t>
      </w:r>
      <w:proofErr w:type="spellEnd"/>
      <w:r w:rsidRPr="00DC4F35">
        <w:rPr>
          <w:i/>
          <w:iCs/>
        </w:rPr>
        <w:t xml:space="preserve"> case scenario</w:t>
      </w:r>
      <w:r w:rsidRPr="00DC4F35">
        <w:t xml:space="preserve">” vurderer den dataansvarlige således ikke de enkelte tredjelandes lovgivning og praksis, men lægger i stedet til grund, at alle de omhandlede tredjelande har ”problematisk” lovgivning og/eller praksis. Det er </w:t>
      </w:r>
      <w:r w:rsidR="005856B0" w:rsidRPr="00DC4F35">
        <w:t xml:space="preserve">Statens </w:t>
      </w:r>
      <w:proofErr w:type="spellStart"/>
      <w:r w:rsidR="005856B0" w:rsidRPr="00DC4F35">
        <w:t>It’s</w:t>
      </w:r>
      <w:proofErr w:type="spellEnd"/>
      <w:r w:rsidR="00D74A20" w:rsidRPr="00DC4F35">
        <w:t xml:space="preserve"> og Ø</w:t>
      </w:r>
      <w:r w:rsidR="005856B0" w:rsidRPr="00DC4F35">
        <w:t>konomistyrelsens</w:t>
      </w:r>
      <w:r w:rsidRPr="00DC4F35">
        <w:t xml:space="preserve"> vurdering, at hensynet til beskyttelsen af de registreredes rettigheder og frihedsrettigheder på samme vis må kunne imødekommes, uanset at </w:t>
      </w:r>
      <w:r w:rsidR="00277FF9" w:rsidRPr="00DC4F35">
        <w:t>De Dataansvarlige</w:t>
      </w:r>
      <w:r w:rsidRPr="00DC4F35">
        <w:t xml:space="preserve"> ikke på forhånd kan vide, hvilke underdatabehandlere der konkret vil blive gjort brug</w:t>
      </w:r>
      <w:r w:rsidR="00277FF9" w:rsidRPr="00DC4F35">
        <w:t xml:space="preserve"> af</w:t>
      </w:r>
      <w:r w:rsidRPr="00DC4F35">
        <w:t xml:space="preserve"> i forbindelse med </w:t>
      </w:r>
      <w:r w:rsidR="00277FF9" w:rsidRPr="00DC4F35">
        <w:t>De Dataansvarliges</w:t>
      </w:r>
      <w:r w:rsidRPr="00DC4F35">
        <w:t xml:space="preserve"> brug af </w:t>
      </w:r>
      <w:r w:rsidR="00277FF9" w:rsidRPr="00DC4F35">
        <w:t>Microsoft 365</w:t>
      </w:r>
      <w:r w:rsidRPr="00DC4F35">
        <w:t xml:space="preserve">, hvis </w:t>
      </w:r>
      <w:r w:rsidR="00C01CBB" w:rsidRPr="00DC4F35">
        <w:t>der</w:t>
      </w:r>
      <w:r w:rsidRPr="00DC4F35">
        <w:t xml:space="preserve"> anlægge</w:t>
      </w:r>
      <w:r w:rsidR="00C01CBB" w:rsidRPr="00DC4F35">
        <w:t>s</w:t>
      </w:r>
      <w:r w:rsidRPr="00DC4F35">
        <w:t xml:space="preserve"> et </w:t>
      </w:r>
      <w:proofErr w:type="spellStart"/>
      <w:r w:rsidRPr="00DC4F35">
        <w:t>worst</w:t>
      </w:r>
      <w:proofErr w:type="spellEnd"/>
      <w:r w:rsidRPr="00DC4F35">
        <w:t xml:space="preserve"> case scenarie</w:t>
      </w:r>
      <w:r w:rsidR="00D47632" w:rsidRPr="00DC4F35">
        <w:t>,</w:t>
      </w:r>
      <w:r w:rsidRPr="00DC4F35">
        <w:t xml:space="preserve"> </w:t>
      </w:r>
      <w:r w:rsidRPr="00DC4F35">
        <w:rPr>
          <w:rFonts w:eastAsia="Times New Roman" w:cs="Segoe UI"/>
          <w:lang w:eastAsia="da-DK"/>
        </w:rPr>
        <w:t>og på den baggrund nærmere vurdere</w:t>
      </w:r>
      <w:r w:rsidR="0023739D" w:rsidRPr="00DC4F35">
        <w:rPr>
          <w:rFonts w:eastAsia="Times New Roman" w:cs="Segoe UI"/>
          <w:lang w:eastAsia="da-DK"/>
        </w:rPr>
        <w:t>s</w:t>
      </w:r>
      <w:r w:rsidRPr="00DC4F35">
        <w:rPr>
          <w:rFonts w:eastAsia="Times New Roman" w:cs="Segoe UI"/>
          <w:lang w:eastAsia="da-DK"/>
        </w:rPr>
        <w:t xml:space="preserve">, hvilke supplerende foranstaltninger der skal træffes for at sikre et beskyttelsesniveau, der i det væsentlige svarer til niveauet i EU/EØS. </w:t>
      </w:r>
      <w:r w:rsidRPr="00DC4F35">
        <w:t xml:space="preserve">Det er på baggrund heraf </w:t>
      </w:r>
      <w:r w:rsidR="003B7AD5" w:rsidRPr="00DC4F35">
        <w:t xml:space="preserve">Statens </w:t>
      </w:r>
      <w:proofErr w:type="spellStart"/>
      <w:r w:rsidR="003B7AD5" w:rsidRPr="00DC4F35">
        <w:t>It’s</w:t>
      </w:r>
      <w:proofErr w:type="spellEnd"/>
      <w:r w:rsidR="00C01CBB" w:rsidRPr="00DC4F35">
        <w:t xml:space="preserve"> og Ø</w:t>
      </w:r>
      <w:r w:rsidR="003B7AD5" w:rsidRPr="00DC4F35">
        <w:t>konomistyrelsens</w:t>
      </w:r>
      <w:r w:rsidRPr="00DC4F35">
        <w:t xml:space="preserve"> vurdering, at den manglende konkretisering af underdatabehandlere i forbindelse med</w:t>
      </w:r>
      <w:r w:rsidRPr="00DC4F35">
        <w:rPr>
          <w:iCs/>
        </w:rPr>
        <w:t xml:space="preserve"> </w:t>
      </w:r>
      <w:r w:rsidR="00C01CBB" w:rsidRPr="00DC4F35">
        <w:rPr>
          <w:iCs/>
        </w:rPr>
        <w:t>De Dataansvarliges</w:t>
      </w:r>
      <w:r w:rsidRPr="00DC4F35">
        <w:rPr>
          <w:iCs/>
        </w:rPr>
        <w:t xml:space="preserve"> brug, herunder hvilke lande der kan overføres per</w:t>
      </w:r>
      <w:r w:rsidRPr="00DC4F35">
        <w:rPr>
          <w:iCs/>
        </w:rPr>
        <w:lastRenderedPageBreak/>
        <w:t xml:space="preserve">sonoplysninger til, ikke selvstændigt medfører, at brugen af </w:t>
      </w:r>
      <w:r w:rsidR="00C01CBB" w:rsidRPr="00DC4F35">
        <w:t>Microsoft 365</w:t>
      </w:r>
      <w:r w:rsidRPr="00DC4F35">
        <w:rPr>
          <w:iCs/>
        </w:rPr>
        <w:t xml:space="preserve"> </w:t>
      </w:r>
      <w:r w:rsidR="00426485" w:rsidRPr="00DC4F35">
        <w:rPr>
          <w:iCs/>
        </w:rPr>
        <w:t>er i strid med databeskyttelsesreglerne</w:t>
      </w:r>
      <w:r w:rsidRPr="00DC4F35">
        <w:rPr>
          <w:iCs/>
        </w:rPr>
        <w:t xml:space="preserve">. Dette forudsat, at </w:t>
      </w:r>
      <w:r w:rsidR="00C01CBB" w:rsidRPr="00DC4F35">
        <w:rPr>
          <w:iCs/>
        </w:rPr>
        <w:t>der</w:t>
      </w:r>
      <w:r w:rsidRPr="00DC4F35">
        <w:rPr>
          <w:iCs/>
        </w:rPr>
        <w:t xml:space="preserve"> anlægge</w:t>
      </w:r>
      <w:r w:rsidR="00C01CBB" w:rsidRPr="00DC4F35">
        <w:rPr>
          <w:iCs/>
        </w:rPr>
        <w:t>s</w:t>
      </w:r>
      <w:r w:rsidRPr="00DC4F35">
        <w:rPr>
          <w:iCs/>
        </w:rPr>
        <w:t xml:space="preserve"> et </w:t>
      </w:r>
      <w:proofErr w:type="spellStart"/>
      <w:r w:rsidRPr="00DC4F35">
        <w:t>worst</w:t>
      </w:r>
      <w:proofErr w:type="spellEnd"/>
      <w:r w:rsidRPr="00DC4F35">
        <w:t xml:space="preserve"> case scenario</w:t>
      </w:r>
      <w:r w:rsidRPr="00DC4F35">
        <w:rPr>
          <w:iCs/>
        </w:rPr>
        <w:t xml:space="preserve"> for vurderingen </w:t>
      </w:r>
      <w:r w:rsidRPr="00DC4F35">
        <w:rPr>
          <w:lang w:eastAsia="da-DK"/>
        </w:rPr>
        <w:t>af beskyttelsesniveauet.</w:t>
      </w:r>
    </w:p>
    <w:p w14:paraId="02CEA141" w14:textId="77777777" w:rsidR="00C736BF" w:rsidRPr="00DC4F35" w:rsidRDefault="00C736BF" w:rsidP="00C736BF"/>
    <w:p w14:paraId="4BA79D34" w14:textId="7FC0769C" w:rsidR="00D04D16" w:rsidRPr="00DC4F35" w:rsidRDefault="00D04D16" w:rsidP="00D04D16">
      <w:pPr>
        <w:pStyle w:val="Overskrift4"/>
      </w:pPr>
      <w:bookmarkStart w:id="20" w:name="_Ref164289389"/>
      <w:r w:rsidRPr="00DC4F35">
        <w:t xml:space="preserve">Proces for adgang til data i EU Data </w:t>
      </w:r>
      <w:proofErr w:type="spellStart"/>
      <w:r w:rsidRPr="00DC4F35">
        <w:t>Boundary</w:t>
      </w:r>
      <w:bookmarkEnd w:id="20"/>
      <w:proofErr w:type="spellEnd"/>
    </w:p>
    <w:p w14:paraId="6BB8C159" w14:textId="718083A3" w:rsidR="00D04D16" w:rsidRPr="00DC4F35" w:rsidRDefault="00D04D16" w:rsidP="00D04D16">
      <w:r w:rsidRPr="00DC4F35">
        <w:t xml:space="preserve">Adgangen til data sker i henhold til EU Data </w:t>
      </w:r>
      <w:proofErr w:type="spellStart"/>
      <w:r w:rsidRPr="00DC4F35">
        <w:t>Boundary</w:t>
      </w:r>
      <w:proofErr w:type="spellEnd"/>
      <w:r w:rsidRPr="00DC4F35">
        <w:t xml:space="preserve"> dokumentationen som udgangspunkt ved “Remote Access”, hvor Microsofts personale</w:t>
      </w:r>
      <w:r w:rsidR="00FA112E" w:rsidRPr="00DC4F35">
        <w:t xml:space="preserve"> eller underdatabehandlere</w:t>
      </w:r>
      <w:r w:rsidRPr="00DC4F35">
        <w:t xml:space="preserve"> tilgår data inde i EU Data </w:t>
      </w:r>
      <w:proofErr w:type="spellStart"/>
      <w:r w:rsidRPr="00DC4F35">
        <w:t>Boundary</w:t>
      </w:r>
      <w:proofErr w:type="spellEnd"/>
      <w:r w:rsidRPr="00DC4F35">
        <w:t xml:space="preserve"> gennem fjernadgang fra det land, hvor den pågældende er placeret.</w:t>
      </w:r>
    </w:p>
    <w:p w14:paraId="29DE56C3" w14:textId="77777777" w:rsidR="00D04D16" w:rsidRPr="00DC4F35" w:rsidRDefault="00D04D16" w:rsidP="00D04D16"/>
    <w:p w14:paraId="51B3522D" w14:textId="3696B89B" w:rsidR="00D04D16" w:rsidRPr="00DC4F35" w:rsidRDefault="00D04D16" w:rsidP="00D04D16">
      <w:r w:rsidRPr="00DC4F35">
        <w:t xml:space="preserve">Om processen for adgang til Customer Data fremgår af EU Data </w:t>
      </w:r>
      <w:proofErr w:type="spellStart"/>
      <w:r w:rsidRPr="00DC4F35">
        <w:t>Boundary</w:t>
      </w:r>
      <w:proofErr w:type="spellEnd"/>
      <w:r w:rsidRPr="00DC4F35">
        <w:t xml:space="preserve"> dokumentationen (under overskriften</w:t>
      </w:r>
      <w:r w:rsidRPr="00DC4F35">
        <w:rPr>
          <w:i/>
          <w:iCs/>
        </w:rPr>
        <w:t xml:space="preserve"> ”How Microsoft </w:t>
      </w:r>
      <w:proofErr w:type="spellStart"/>
      <w:r w:rsidRPr="00DC4F35">
        <w:rPr>
          <w:i/>
          <w:iCs/>
        </w:rPr>
        <w:t>protects</w:t>
      </w:r>
      <w:proofErr w:type="spellEnd"/>
      <w:r w:rsidRPr="00DC4F35">
        <w:rPr>
          <w:i/>
          <w:iCs/>
        </w:rPr>
        <w:t xml:space="preserve"> Customer Data”</w:t>
      </w:r>
      <w:r w:rsidRPr="00DC4F35">
        <w:t>)</w:t>
      </w:r>
      <w:r w:rsidR="00925FFE" w:rsidRPr="00DC4F35">
        <w:t xml:space="preserve"> følgende</w:t>
      </w:r>
      <w:r w:rsidRPr="00DC4F35">
        <w:t xml:space="preserve">: </w:t>
      </w:r>
    </w:p>
    <w:p w14:paraId="6764724B" w14:textId="77777777" w:rsidR="00D04D16" w:rsidRPr="00DC4F35" w:rsidRDefault="00D04D16" w:rsidP="00D04D16"/>
    <w:p w14:paraId="1381A14F" w14:textId="57F0F04C" w:rsidR="00D04D16" w:rsidRPr="001C19E7" w:rsidRDefault="00D04D16" w:rsidP="00A556F1">
      <w:pPr>
        <w:ind w:left="1276"/>
        <w:rPr>
          <w:i/>
          <w:iCs/>
          <w:lang w:val="en-US"/>
        </w:rPr>
      </w:pPr>
      <w:r w:rsidRPr="001C19E7">
        <w:rPr>
          <w:i/>
          <w:iCs/>
          <w:lang w:val="en-US"/>
        </w:rPr>
        <w:t>“</w:t>
      </w:r>
      <w:r w:rsidR="00925FFE" w:rsidRPr="001C19E7">
        <w:rPr>
          <w:i/>
          <w:iCs/>
          <w:lang w:val="en-US"/>
        </w:rPr>
        <w:t>[</w:t>
      </w:r>
      <w:r w:rsidRPr="001C19E7">
        <w:rPr>
          <w:i/>
          <w:iCs/>
          <w:lang w:val="en-US"/>
        </w:rPr>
        <w:t>…</w:t>
      </w:r>
      <w:r w:rsidR="00925FFE" w:rsidRPr="001C19E7">
        <w:rPr>
          <w:i/>
          <w:iCs/>
          <w:lang w:val="en-US"/>
        </w:rPr>
        <w:t>]</w:t>
      </w:r>
      <w:r w:rsidRPr="001C19E7">
        <w:rPr>
          <w:i/>
          <w:iCs/>
          <w:lang w:val="en-US"/>
        </w:rPr>
        <w:t xml:space="preserve"> There's no default access to Customer Data; access is provided to Microsoft personnel only when a task requires it. Access to Customer Data must be for an appropriate purpose, must be limited to the amount and type of Customer Data required to achieve the appropriate purpose, and where the purpose can only be achieved through this level of access. Microsoft uses just-in-time (JIT) access approvals which are granted only for as long as is necessary to achieve that purpose. Microsoft also relies on role-based access control (RBAC), where individual access is subject to strict requirements, such as the need-to-know principle, mandatory continual training, and oversight by one or more managers.</w:t>
      </w:r>
    </w:p>
    <w:p w14:paraId="6F16030D" w14:textId="77777777" w:rsidR="00D04D16" w:rsidRPr="001C19E7" w:rsidRDefault="00D04D16" w:rsidP="00A556F1">
      <w:pPr>
        <w:ind w:left="1276"/>
        <w:rPr>
          <w:i/>
          <w:iCs/>
          <w:lang w:val="en-US"/>
        </w:rPr>
      </w:pPr>
    </w:p>
    <w:p w14:paraId="3A800222" w14:textId="0BB52B2A" w:rsidR="00D04D16" w:rsidRPr="001C19E7" w:rsidRDefault="00D04D16" w:rsidP="00A556F1">
      <w:pPr>
        <w:ind w:left="1276"/>
        <w:rPr>
          <w:i/>
          <w:iCs/>
          <w:lang w:val="en-US"/>
        </w:rPr>
      </w:pPr>
      <w:r w:rsidRPr="001C19E7">
        <w:rPr>
          <w:i/>
          <w:iCs/>
          <w:lang w:val="en-US"/>
        </w:rPr>
        <w:t>Microsoft personnel that have access to Customer Data operate from secure admin workstations (SAWs). SAWs are limited-function computers that reduce the risk of compromise from malware, phishing attacks, bogus websites, and pass-the-hash (</w:t>
      </w:r>
      <w:proofErr w:type="spellStart"/>
      <w:r w:rsidRPr="001C19E7">
        <w:rPr>
          <w:i/>
          <w:iCs/>
          <w:lang w:val="en-US"/>
        </w:rPr>
        <w:t>PtH</w:t>
      </w:r>
      <w:proofErr w:type="spellEnd"/>
      <w:r w:rsidRPr="001C19E7">
        <w:rPr>
          <w:i/>
          <w:iCs/>
          <w:lang w:val="en-US"/>
        </w:rPr>
        <w:t xml:space="preserve">) attacks, among other security risks, and are enabled with countermeasures intended to make data exfiltration difficult. For example, Microsoft personnel working on SAWs have restricted access to the internet on such devices and are unable to access external or removable media because those capabilities are blocked in the SAW implementation. </w:t>
      </w:r>
      <w:r w:rsidR="00925FFE" w:rsidRPr="001C19E7">
        <w:rPr>
          <w:i/>
          <w:iCs/>
          <w:lang w:val="en-US"/>
        </w:rPr>
        <w:t>[</w:t>
      </w:r>
      <w:r w:rsidRPr="001C19E7">
        <w:rPr>
          <w:i/>
          <w:iCs/>
          <w:lang w:val="en-US"/>
        </w:rPr>
        <w:t>…</w:t>
      </w:r>
      <w:r w:rsidR="00925FFE" w:rsidRPr="001C19E7">
        <w:rPr>
          <w:i/>
          <w:iCs/>
          <w:lang w:val="en-US"/>
        </w:rPr>
        <w:t>]</w:t>
      </w:r>
      <w:r w:rsidRPr="001C19E7">
        <w:rPr>
          <w:i/>
          <w:iCs/>
          <w:lang w:val="en-US"/>
        </w:rPr>
        <w:t xml:space="preserve">. </w:t>
      </w:r>
    </w:p>
    <w:p w14:paraId="5BDEA84B" w14:textId="77777777" w:rsidR="00D04D16" w:rsidRPr="001C19E7" w:rsidRDefault="00D04D16" w:rsidP="00A556F1">
      <w:pPr>
        <w:ind w:left="1276"/>
        <w:rPr>
          <w:i/>
          <w:iCs/>
          <w:lang w:val="en-US"/>
        </w:rPr>
      </w:pPr>
    </w:p>
    <w:p w14:paraId="07EB2C34" w14:textId="4B9B51A1" w:rsidR="00D04D16" w:rsidRPr="00C83C91" w:rsidRDefault="00D04D16" w:rsidP="00A556F1">
      <w:pPr>
        <w:ind w:left="1276"/>
        <w:rPr>
          <w:i/>
          <w:iCs/>
          <w:lang w:val="en-US"/>
        </w:rPr>
      </w:pPr>
      <w:r w:rsidRPr="001C19E7">
        <w:rPr>
          <w:i/>
          <w:iCs/>
          <w:lang w:val="en-US"/>
        </w:rPr>
        <w:t xml:space="preserve">In addition to the controls described previously, customers may establish additional access controls for many Microsoft cloud services by enabling Customer Lockbox. </w:t>
      </w:r>
      <w:r w:rsidR="00925FFE" w:rsidRPr="00C83C91">
        <w:rPr>
          <w:i/>
          <w:iCs/>
          <w:lang w:val="en-US"/>
        </w:rPr>
        <w:t>[</w:t>
      </w:r>
      <w:r w:rsidRPr="00C83C91">
        <w:rPr>
          <w:i/>
          <w:iCs/>
          <w:lang w:val="en-US"/>
        </w:rPr>
        <w:t>…</w:t>
      </w:r>
      <w:r w:rsidR="00925FFE" w:rsidRPr="00C83C91">
        <w:rPr>
          <w:i/>
          <w:iCs/>
          <w:lang w:val="en-US"/>
        </w:rPr>
        <w:t>]</w:t>
      </w:r>
    </w:p>
    <w:p w14:paraId="640B6A08" w14:textId="77777777" w:rsidR="00D04D16" w:rsidRPr="00C83C91" w:rsidRDefault="00D04D16" w:rsidP="00A556F1">
      <w:pPr>
        <w:ind w:left="1276"/>
        <w:rPr>
          <w:i/>
          <w:iCs/>
          <w:lang w:val="en-US"/>
        </w:rPr>
      </w:pPr>
    </w:p>
    <w:p w14:paraId="24EF9604" w14:textId="77777777" w:rsidR="00D04D16" w:rsidRPr="001C19E7" w:rsidRDefault="00D04D16" w:rsidP="00A556F1">
      <w:pPr>
        <w:ind w:left="1276"/>
        <w:rPr>
          <w:i/>
          <w:iCs/>
          <w:highlight w:val="yellow"/>
          <w:lang w:val="en-US"/>
        </w:rPr>
      </w:pPr>
      <w:r w:rsidRPr="001C19E7">
        <w:rPr>
          <w:i/>
          <w:iCs/>
          <w:lang w:val="en-US"/>
        </w:rPr>
        <w:t>Access to Customer Data is also logged and monitored by Microsoft. Microsoft performs regular audits to review and confirm that access management measures are working in accordance with policy requirements, including Microsoft's contractual commitments.”</w:t>
      </w:r>
    </w:p>
    <w:p w14:paraId="165ADA84" w14:textId="77777777" w:rsidR="00D04D16" w:rsidRPr="001C19E7" w:rsidRDefault="00D04D16" w:rsidP="00D04D16">
      <w:pPr>
        <w:rPr>
          <w:highlight w:val="yellow"/>
          <w:lang w:val="en-US"/>
        </w:rPr>
      </w:pPr>
    </w:p>
    <w:p w14:paraId="367DC33C" w14:textId="25650FB9" w:rsidR="00D04D16" w:rsidRPr="00DC4F35" w:rsidRDefault="00D04D16" w:rsidP="00D04D16">
      <w:r w:rsidRPr="00DC4F35">
        <w:lastRenderedPageBreak/>
        <w:t xml:space="preserve">Om processen for adgang til </w:t>
      </w:r>
      <w:proofErr w:type="spellStart"/>
      <w:r w:rsidRPr="00DC4F35">
        <w:t>pseudonymiserede</w:t>
      </w:r>
      <w:proofErr w:type="spellEnd"/>
      <w:r w:rsidRPr="00DC4F35">
        <w:t xml:space="preserve"> personoplysninger i System-</w:t>
      </w:r>
      <w:proofErr w:type="spellStart"/>
      <w:r w:rsidRPr="00DC4F35">
        <w:t>Generated</w:t>
      </w:r>
      <w:proofErr w:type="spellEnd"/>
      <w:r w:rsidRPr="00DC4F35">
        <w:t xml:space="preserve"> logs fremgår</w:t>
      </w:r>
      <w:r w:rsidR="00E27D75" w:rsidRPr="00DC4F35">
        <w:t xml:space="preserve"> følgende</w:t>
      </w:r>
      <w:r w:rsidRPr="00DC4F35">
        <w:t xml:space="preserve"> under overskriften ”</w:t>
      </w:r>
      <w:r w:rsidRPr="00DC4F35">
        <w:rPr>
          <w:i/>
          <w:iCs/>
        </w:rPr>
        <w:t xml:space="preserve">How Microsoft </w:t>
      </w:r>
      <w:proofErr w:type="spellStart"/>
      <w:r w:rsidRPr="00DC4F35">
        <w:rPr>
          <w:i/>
          <w:iCs/>
        </w:rPr>
        <w:t>protects</w:t>
      </w:r>
      <w:proofErr w:type="spellEnd"/>
      <w:r w:rsidRPr="00DC4F35">
        <w:rPr>
          <w:i/>
          <w:iCs/>
        </w:rPr>
        <w:t xml:space="preserve"> </w:t>
      </w:r>
      <w:proofErr w:type="spellStart"/>
      <w:r w:rsidRPr="00DC4F35">
        <w:rPr>
          <w:i/>
          <w:iCs/>
        </w:rPr>
        <w:t>pseudonymized</w:t>
      </w:r>
      <w:proofErr w:type="spellEnd"/>
      <w:r w:rsidRPr="00DC4F35">
        <w:rPr>
          <w:i/>
          <w:iCs/>
        </w:rPr>
        <w:t xml:space="preserve"> </w:t>
      </w:r>
      <w:proofErr w:type="spellStart"/>
      <w:r w:rsidRPr="00DC4F35">
        <w:rPr>
          <w:i/>
          <w:iCs/>
        </w:rPr>
        <w:t>personal</w:t>
      </w:r>
      <w:proofErr w:type="spellEnd"/>
      <w:r w:rsidRPr="00DC4F35">
        <w:rPr>
          <w:i/>
          <w:iCs/>
        </w:rPr>
        <w:t xml:space="preserve"> data in system-</w:t>
      </w:r>
      <w:proofErr w:type="spellStart"/>
      <w:r w:rsidRPr="00DC4F35">
        <w:rPr>
          <w:i/>
          <w:iCs/>
        </w:rPr>
        <w:t>generated</w:t>
      </w:r>
      <w:proofErr w:type="spellEnd"/>
      <w:r w:rsidRPr="00DC4F35">
        <w:rPr>
          <w:i/>
          <w:iCs/>
        </w:rPr>
        <w:t xml:space="preserve"> logs</w:t>
      </w:r>
      <w:r w:rsidRPr="00DC4F35">
        <w:t xml:space="preserve">”: </w:t>
      </w:r>
    </w:p>
    <w:p w14:paraId="11B7A101" w14:textId="77777777" w:rsidR="00D04D16" w:rsidRPr="00DC4F35" w:rsidRDefault="00D04D16" w:rsidP="00D04D16">
      <w:pPr>
        <w:rPr>
          <w:highlight w:val="yellow"/>
        </w:rPr>
      </w:pPr>
    </w:p>
    <w:p w14:paraId="4CA84C6C" w14:textId="77777777" w:rsidR="00D04D16" w:rsidRPr="001C19E7" w:rsidRDefault="00D04D16" w:rsidP="00A556F1">
      <w:pPr>
        <w:ind w:left="1276"/>
        <w:rPr>
          <w:i/>
          <w:iCs/>
          <w:lang w:val="en-US"/>
        </w:rPr>
      </w:pPr>
      <w:r w:rsidRPr="001C19E7">
        <w:rPr>
          <w:i/>
          <w:iCs/>
          <w:lang w:val="en-US"/>
        </w:rPr>
        <w:t>“Microsoft personnel may use either a SAW or a virtual desktop infrastructure (VDI). The SAW-specific security measures described in the preceding section also apply when using a SAW to access pseudonymized personal data. When using a VDI to access pseudonymized personal data in the EU Data Boundary, Microsoft enforces access limitations to provide a secure environment for data access. As with SAWs, the list of utilities that are allowed on the VDIs are limited and are subject to rigorous security tests before being certified to run on the VDIs. When a VDI is used, pseudonymized personal data in the EU Data Boundary is accessed through virtual machines that are hosted on a physical machine located in the EU Data Boundary and no data persists outside of the EU Data Boundary.</w:t>
      </w:r>
    </w:p>
    <w:p w14:paraId="6F88B9C0" w14:textId="77777777" w:rsidR="00D04D16" w:rsidRPr="001C19E7" w:rsidRDefault="00D04D16" w:rsidP="00A556F1">
      <w:pPr>
        <w:ind w:left="1276"/>
        <w:rPr>
          <w:i/>
          <w:iCs/>
          <w:lang w:val="en-US"/>
        </w:rPr>
      </w:pPr>
    </w:p>
    <w:p w14:paraId="6B4AF7E1" w14:textId="77777777" w:rsidR="00D04D16" w:rsidRPr="001C19E7" w:rsidRDefault="00D04D16" w:rsidP="00A556F1">
      <w:pPr>
        <w:ind w:left="1276"/>
        <w:rPr>
          <w:i/>
          <w:iCs/>
          <w:lang w:val="en-US"/>
        </w:rPr>
      </w:pPr>
      <w:r w:rsidRPr="001C19E7">
        <w:rPr>
          <w:i/>
          <w:iCs/>
          <w:lang w:val="en-US"/>
        </w:rPr>
        <w:t>Per our standard policies, bulk transfers of data outside the EU Data Boundary are prohibited, and VDI users can only access preapproved URL destinations. In addition, Microsoft personnel who use the VDI environment do not have administrative access to the physical machines located in the EU Data Boundary.”</w:t>
      </w:r>
    </w:p>
    <w:p w14:paraId="361459C4" w14:textId="77777777" w:rsidR="00D04D16" w:rsidRPr="001C19E7" w:rsidRDefault="00D04D16" w:rsidP="00D04D16">
      <w:pPr>
        <w:rPr>
          <w:i/>
          <w:iCs/>
          <w:lang w:val="en-US"/>
        </w:rPr>
      </w:pPr>
    </w:p>
    <w:p w14:paraId="45C484C0" w14:textId="69F8551E" w:rsidR="00D04D16" w:rsidRPr="00DC4F35" w:rsidRDefault="00D04D16" w:rsidP="00D04D16">
      <w:r w:rsidRPr="00DC4F35">
        <w:t>Adgangen til data, der muliggør identifikation af personer i System-</w:t>
      </w:r>
      <w:proofErr w:type="spellStart"/>
      <w:r w:rsidRPr="00DC4F35">
        <w:t>Generated</w:t>
      </w:r>
      <w:proofErr w:type="spellEnd"/>
      <w:r w:rsidRPr="00DC4F35">
        <w:t xml:space="preserve"> logs, sker på sam</w:t>
      </w:r>
      <w:r w:rsidR="00FA112E" w:rsidRPr="00DC4F35">
        <w:t>me</w:t>
      </w:r>
      <w:r w:rsidRPr="00DC4F35">
        <w:t xml:space="preserve"> m</w:t>
      </w:r>
      <w:r w:rsidR="00FA112E" w:rsidRPr="00DC4F35">
        <w:t>å</w:t>
      </w:r>
      <w:r w:rsidRPr="00DC4F35">
        <w:t>de som adgangen til Customer Data</w:t>
      </w:r>
      <w:r w:rsidR="00CE587A" w:rsidRPr="00DC4F35">
        <w:t>.</w:t>
      </w:r>
      <w:r w:rsidRPr="00DC4F35">
        <w:rPr>
          <w:rStyle w:val="Fodnotehenvisning"/>
        </w:rPr>
        <w:footnoteReference w:id="15"/>
      </w:r>
    </w:p>
    <w:p w14:paraId="1F259DB5" w14:textId="77777777" w:rsidR="00D04D16" w:rsidRPr="00DC4F35" w:rsidRDefault="00D04D16" w:rsidP="00D04D16"/>
    <w:p w14:paraId="011FE813" w14:textId="1D245FDC" w:rsidR="00D04D16" w:rsidRPr="00DC4F35" w:rsidRDefault="00D04D16" w:rsidP="00D04D16">
      <w:r w:rsidRPr="00DC4F35">
        <w:t>Ved overførsler, der sker med henblik på ”</w:t>
      </w:r>
      <w:proofErr w:type="spellStart"/>
      <w:r w:rsidRPr="00DC4F35">
        <w:t>protecting</w:t>
      </w:r>
      <w:proofErr w:type="spellEnd"/>
      <w:r w:rsidRPr="00DC4F35">
        <w:t xml:space="preserve"> </w:t>
      </w:r>
      <w:proofErr w:type="spellStart"/>
      <w:r w:rsidRPr="00DC4F35">
        <w:t>customers</w:t>
      </w:r>
      <w:proofErr w:type="spellEnd"/>
      <w:r w:rsidRPr="00DC4F35">
        <w:t xml:space="preserve">”, jf. afsnit </w:t>
      </w:r>
      <w:r w:rsidRPr="00DC4F35">
        <w:fldChar w:fldCharType="begin"/>
      </w:r>
      <w:r w:rsidRPr="00DC4F35">
        <w:instrText xml:space="preserve"> REF _Ref160528916 \r \h </w:instrText>
      </w:r>
      <w:r w:rsidRPr="00DC4F35">
        <w:fldChar w:fldCharType="separate"/>
      </w:r>
      <w:r w:rsidR="00C05EBE">
        <w:t>3.3.1.2</w:t>
      </w:r>
      <w:r w:rsidRPr="00DC4F35">
        <w:fldChar w:fldCharType="end"/>
      </w:r>
      <w:r w:rsidRPr="00DC4F35">
        <w:t>, vil der dog</w:t>
      </w:r>
      <w:r w:rsidR="00FA112E" w:rsidRPr="00DC4F35">
        <w:t xml:space="preserve"> i yderst sjældne tilfælde</w:t>
      </w:r>
      <w:r w:rsidRPr="00DC4F35">
        <w:t xml:space="preserve"> blive lagret </w:t>
      </w:r>
      <w:r w:rsidR="00CE587A" w:rsidRPr="00DC4F35">
        <w:t>person</w:t>
      </w:r>
      <w:r w:rsidRPr="00DC4F35">
        <w:t xml:space="preserve">oplysninger </w:t>
      </w:r>
      <w:r w:rsidR="00CE587A" w:rsidRPr="00DC4F35">
        <w:t xml:space="preserve">fra Customer Data </w:t>
      </w:r>
      <w:r w:rsidRPr="00DC4F35">
        <w:t xml:space="preserve">uden for EU Data </w:t>
      </w:r>
      <w:proofErr w:type="spellStart"/>
      <w:r w:rsidRPr="00DC4F35">
        <w:t>Boundary</w:t>
      </w:r>
      <w:proofErr w:type="spellEnd"/>
      <w:r w:rsidR="00FA112E" w:rsidRPr="00DC4F35">
        <w:t>, når det er nødvendigt</w:t>
      </w:r>
      <w:r w:rsidRPr="00DC4F35">
        <w:t xml:space="preserve">.  </w:t>
      </w:r>
    </w:p>
    <w:p w14:paraId="78A01A4B" w14:textId="77777777" w:rsidR="00FA112E" w:rsidRPr="00DC4F35" w:rsidRDefault="00FA112E" w:rsidP="00D04D16"/>
    <w:p w14:paraId="49BCDF53" w14:textId="1CC5634C" w:rsidR="0036440D" w:rsidRPr="00DC4F35" w:rsidRDefault="007F3F02" w:rsidP="0036440D">
      <w:pPr>
        <w:pStyle w:val="Overskrift3"/>
      </w:pPr>
      <w:bookmarkStart w:id="21" w:name="_Toc170824025"/>
      <w:r w:rsidRPr="00DC4F35">
        <w:t xml:space="preserve">Overførsler til tredjelande i forbindelse med udleveringsanmodninger i henhold til tredjelands ret for personoplysninger, der behandles og opbevares i EU i henhold til EU Data </w:t>
      </w:r>
      <w:proofErr w:type="spellStart"/>
      <w:r w:rsidRPr="00DC4F35">
        <w:t>Boundary</w:t>
      </w:r>
      <w:bookmarkEnd w:id="21"/>
      <w:proofErr w:type="spellEnd"/>
      <w:r w:rsidRPr="00DC4F35">
        <w:t xml:space="preserve"> </w:t>
      </w:r>
    </w:p>
    <w:p w14:paraId="505562DB" w14:textId="11082F41" w:rsidR="0036440D" w:rsidRPr="00DC4F35" w:rsidRDefault="0036440D" w:rsidP="0036440D">
      <w:pPr>
        <w:rPr>
          <w:rFonts w:cstheme="minorHAnsi"/>
          <w:color w:val="FF0000"/>
        </w:rPr>
      </w:pPr>
      <w:r w:rsidRPr="00DC4F35">
        <w:rPr>
          <w:iCs/>
        </w:rPr>
        <w:t>Microsoft</w:t>
      </w:r>
      <w:r w:rsidR="00D96050" w:rsidRPr="00DC4F35">
        <w:rPr>
          <w:iCs/>
        </w:rPr>
        <w:t xml:space="preserve"> Ireland</w:t>
      </w:r>
      <w:r w:rsidRPr="00DC4F35">
        <w:rPr>
          <w:iCs/>
        </w:rPr>
        <w:t xml:space="preserve"> kan ifølge Microsoft</w:t>
      </w:r>
      <w:r w:rsidR="00D96050" w:rsidRPr="00DC4F35">
        <w:rPr>
          <w:iCs/>
        </w:rPr>
        <w:t xml:space="preserve"> Irelands</w:t>
      </w:r>
      <w:r w:rsidRPr="00DC4F35">
        <w:rPr>
          <w:iCs/>
        </w:rPr>
        <w:t xml:space="preserve"> databehandleraftale </w:t>
      </w:r>
      <w:r w:rsidR="00BB3873" w:rsidRPr="00DC4F35">
        <w:rPr>
          <w:iCs/>
        </w:rPr>
        <w:t xml:space="preserve">udlevere </w:t>
      </w:r>
      <w:r w:rsidRPr="00DC4F35">
        <w:rPr>
          <w:iCs/>
        </w:rPr>
        <w:t>personoplysninger til en ordensmagt eller andre tredjemænd i tredjelande, hvis påkrævet ved lov.</w:t>
      </w:r>
      <w:r w:rsidR="00312CC6" w:rsidRPr="00DC4F35">
        <w:rPr>
          <w:iCs/>
        </w:rPr>
        <w:t xml:space="preserve"> Det gælder også i forhold til personoplysninger opbevaret i EU i henhold til EU Data </w:t>
      </w:r>
      <w:proofErr w:type="spellStart"/>
      <w:r w:rsidR="00312CC6" w:rsidRPr="00DC4F35">
        <w:rPr>
          <w:iCs/>
        </w:rPr>
        <w:t>Boundary</w:t>
      </w:r>
      <w:proofErr w:type="spellEnd"/>
      <w:r w:rsidR="00312CC6" w:rsidRPr="00DC4F35">
        <w:rPr>
          <w:iCs/>
        </w:rPr>
        <w:t>.</w:t>
      </w:r>
      <w:r w:rsidRPr="00DC4F35">
        <w:rPr>
          <w:iCs/>
        </w:rPr>
        <w:t xml:space="preserve"> </w:t>
      </w:r>
      <w:r w:rsidR="00BC7E96" w:rsidRPr="00DC4F35">
        <w:rPr>
          <w:rFonts w:cstheme="minorHAnsi"/>
          <w:iCs/>
        </w:rPr>
        <w:t xml:space="preserve">Vilkårene </w:t>
      </w:r>
      <w:r w:rsidRPr="00DC4F35">
        <w:rPr>
          <w:rFonts w:cstheme="minorHAnsi"/>
          <w:iCs/>
        </w:rPr>
        <w:t xml:space="preserve">er ikke afgrænset til bestemte landes lovgivning mv. </w:t>
      </w:r>
      <w:r w:rsidR="00396860" w:rsidRPr="00DC4F35">
        <w:rPr>
          <w:rFonts w:cstheme="minorHAnsi"/>
          <w:iCs/>
        </w:rPr>
        <w:t xml:space="preserve">Udleveringer </w:t>
      </w:r>
      <w:r w:rsidRPr="00DC4F35">
        <w:rPr>
          <w:rFonts w:cstheme="minorHAnsi"/>
          <w:iCs/>
        </w:rPr>
        <w:t>påkrævet ved lov må derfor potentielt kunne medføre overførsler til alle tredjelandes ordensmagter mv.</w:t>
      </w:r>
      <w:r w:rsidR="003929F3" w:rsidRPr="00DC4F35">
        <w:rPr>
          <w:rFonts w:cstheme="minorHAnsi"/>
          <w:iCs/>
        </w:rPr>
        <w:t xml:space="preserve">, herunder til </w:t>
      </w:r>
      <w:r w:rsidRPr="00DC4F35">
        <w:rPr>
          <w:rFonts w:cstheme="minorHAnsi"/>
          <w:iCs/>
        </w:rPr>
        <w:t>USA, hvor Microsofts moderselskab, Microsoft Corporation, er hjemhørende</w:t>
      </w:r>
      <w:r w:rsidR="003929F3" w:rsidRPr="00DC4F35">
        <w:rPr>
          <w:rFonts w:cstheme="minorHAnsi"/>
          <w:iCs/>
        </w:rPr>
        <w:t>.</w:t>
      </w:r>
    </w:p>
    <w:p w14:paraId="76BE4B50" w14:textId="77777777" w:rsidR="0036440D" w:rsidRPr="00DC4F35" w:rsidRDefault="0036440D" w:rsidP="0036440D">
      <w:pPr>
        <w:rPr>
          <w:rFonts w:cstheme="minorHAnsi"/>
          <w:iCs/>
        </w:rPr>
      </w:pPr>
    </w:p>
    <w:p w14:paraId="57BECF8B" w14:textId="29A32420" w:rsidR="0025790B" w:rsidRPr="00DC4F35" w:rsidRDefault="0025790B" w:rsidP="0025790B">
      <w:pPr>
        <w:rPr>
          <w:iCs/>
        </w:rPr>
      </w:pPr>
      <w:r w:rsidRPr="00DC4F35">
        <w:rPr>
          <w:rFonts w:cstheme="minorHAnsi"/>
          <w:iCs/>
        </w:rPr>
        <w:lastRenderedPageBreak/>
        <w:t>Det bemærkes, at Microsoft</w:t>
      </w:r>
      <w:r w:rsidR="00E86875" w:rsidRPr="00DC4F35">
        <w:rPr>
          <w:rFonts w:cstheme="minorHAnsi"/>
          <w:iCs/>
        </w:rPr>
        <w:t xml:space="preserve"> Irelands </w:t>
      </w:r>
      <w:r w:rsidRPr="00DC4F35">
        <w:rPr>
          <w:rFonts w:cstheme="minorHAnsi"/>
          <w:iCs/>
        </w:rPr>
        <w:t xml:space="preserve">forbehold om, at Microsoft </w:t>
      </w:r>
      <w:r w:rsidR="00E86875" w:rsidRPr="00DC4F35">
        <w:rPr>
          <w:rFonts w:cstheme="minorHAnsi"/>
          <w:iCs/>
        </w:rPr>
        <w:t xml:space="preserve">Ireland </w:t>
      </w:r>
      <w:r w:rsidRPr="00DC4F35">
        <w:rPr>
          <w:rFonts w:cstheme="minorHAnsi"/>
          <w:iCs/>
        </w:rPr>
        <w:t xml:space="preserve">vil udlevere personoplysninger, hvis det påkræves ved lov, </w:t>
      </w:r>
      <w:r w:rsidR="00E86875" w:rsidRPr="00DC4F35">
        <w:rPr>
          <w:rFonts w:cstheme="minorHAnsi"/>
          <w:iCs/>
        </w:rPr>
        <w:t xml:space="preserve">må anses for at </w:t>
      </w:r>
      <w:r w:rsidRPr="00DC4F35">
        <w:rPr>
          <w:rFonts w:cstheme="minorHAnsi"/>
          <w:iCs/>
        </w:rPr>
        <w:t>udgør</w:t>
      </w:r>
      <w:r w:rsidR="00E86875" w:rsidRPr="00DC4F35">
        <w:rPr>
          <w:rFonts w:cstheme="minorHAnsi"/>
          <w:iCs/>
        </w:rPr>
        <w:t>e</w:t>
      </w:r>
      <w:r w:rsidRPr="00DC4F35">
        <w:rPr>
          <w:rFonts w:cstheme="minorHAnsi"/>
          <w:iCs/>
        </w:rPr>
        <w:t xml:space="preserve"> en tilsigtet tredjelandsoverførsel,</w:t>
      </w:r>
      <w:r w:rsidR="00E86875" w:rsidRPr="00DC4F35">
        <w:rPr>
          <w:rFonts w:cstheme="minorHAnsi"/>
          <w:iCs/>
        </w:rPr>
        <w:t xml:space="preserve"> når/hvis en sådan overførsel sker,</w:t>
      </w:r>
      <w:r w:rsidRPr="00DC4F35">
        <w:rPr>
          <w:rFonts w:cstheme="minorHAnsi"/>
          <w:iCs/>
        </w:rPr>
        <w:t xml:space="preserve"> jf. bl.a. Datatilsynets udtalelse </w:t>
      </w:r>
      <w:r w:rsidR="00E963E9" w:rsidRPr="00DC4F35">
        <w:rPr>
          <w:rFonts w:cstheme="minorHAnsi"/>
          <w:iCs/>
        </w:rPr>
        <w:t xml:space="preserve">af </w:t>
      </w:r>
      <w:r w:rsidRPr="00DC4F35">
        <w:rPr>
          <w:rFonts w:cstheme="minorHAnsi"/>
          <w:iCs/>
        </w:rPr>
        <w:t>den 29. marts 2022 ved</w:t>
      </w:r>
      <w:r w:rsidRPr="00DC4F35">
        <w:rPr>
          <w:iCs/>
        </w:rPr>
        <w:t xml:space="preserve"> </w:t>
      </w:r>
      <w:proofErr w:type="spellStart"/>
      <w:r w:rsidRPr="00DC4F35">
        <w:rPr>
          <w:iCs/>
        </w:rPr>
        <w:t>KOMBIT’s</w:t>
      </w:r>
      <w:proofErr w:type="spellEnd"/>
      <w:r w:rsidRPr="00DC4F35">
        <w:rPr>
          <w:iCs/>
        </w:rPr>
        <w:t xml:space="preserve"> forespørgsel herom</w:t>
      </w:r>
      <w:r w:rsidRPr="00DC4F35">
        <w:rPr>
          <w:rStyle w:val="Fodnotehenvisning"/>
          <w:iCs/>
        </w:rPr>
        <w:footnoteReference w:id="16"/>
      </w:r>
      <w:r w:rsidRPr="00DC4F35">
        <w:rPr>
          <w:iCs/>
        </w:rPr>
        <w:t>, hvor tilsynet vurderede et lignende vilkår fra cloudleverandøren Amazon Web Services.</w:t>
      </w:r>
    </w:p>
    <w:p w14:paraId="512ED277" w14:textId="77777777" w:rsidR="00312CC6" w:rsidRPr="00DC4F35" w:rsidRDefault="00312CC6" w:rsidP="0025790B">
      <w:pPr>
        <w:rPr>
          <w:iCs/>
        </w:rPr>
      </w:pPr>
    </w:p>
    <w:p w14:paraId="00BC908D" w14:textId="5E8628EE" w:rsidR="00312CC6" w:rsidRPr="00DC4F35" w:rsidRDefault="00312CC6" w:rsidP="0025790B">
      <w:pPr>
        <w:rPr>
          <w:iCs/>
        </w:rPr>
      </w:pPr>
      <w:r w:rsidRPr="00DC4F35">
        <w:rPr>
          <w:iCs/>
        </w:rPr>
        <w:t>Microsoft Ireland har imidlertid foretaget en ændring af ovennævnte vilkår, hvoraf det fremgår, at Microsoft Ireland ikke vil udlevere personoplysninger til tredjelandes myndigheder, medmindre det følger af EU-retten</w:t>
      </w:r>
      <w:r w:rsidR="00530E57" w:rsidRPr="00DC4F35">
        <w:rPr>
          <w:iCs/>
        </w:rPr>
        <w:t>.</w:t>
      </w:r>
    </w:p>
    <w:p w14:paraId="41299421" w14:textId="77777777" w:rsidR="00312CC6" w:rsidRPr="00DC4F35" w:rsidRDefault="00312CC6" w:rsidP="0025790B">
      <w:pPr>
        <w:rPr>
          <w:iCs/>
        </w:rPr>
      </w:pPr>
    </w:p>
    <w:p w14:paraId="5F15AE03" w14:textId="70019469" w:rsidR="00312CC6" w:rsidRPr="00DC4F35" w:rsidRDefault="00312CC6" w:rsidP="0025790B">
      <w:pPr>
        <w:rPr>
          <w:iCs/>
        </w:rPr>
      </w:pPr>
      <w:r w:rsidRPr="00DC4F35">
        <w:rPr>
          <w:iCs/>
        </w:rPr>
        <w:t>I det følgende gennemgås de ovennævnte vilkår og ændringen heraf</w:t>
      </w:r>
      <w:r w:rsidR="00784E46" w:rsidRPr="00DC4F35">
        <w:rPr>
          <w:iCs/>
        </w:rPr>
        <w:t xml:space="preserve"> efter tur.</w:t>
      </w:r>
    </w:p>
    <w:p w14:paraId="4E2CF291" w14:textId="77777777" w:rsidR="0025790B" w:rsidRPr="00DC4F35" w:rsidRDefault="0025790B" w:rsidP="0025790B">
      <w:pPr>
        <w:rPr>
          <w:iCs/>
        </w:rPr>
      </w:pPr>
    </w:p>
    <w:p w14:paraId="28EAFA70" w14:textId="1E7CC4E8" w:rsidR="008C43FF" w:rsidRPr="00DC4F35" w:rsidRDefault="00312CC6" w:rsidP="008C43FF">
      <w:pPr>
        <w:pStyle w:val="Overskrift4"/>
      </w:pPr>
      <w:bookmarkStart w:id="22" w:name="_Ref162816289"/>
      <w:bookmarkStart w:id="23" w:name="_Toc162873931"/>
      <w:r w:rsidRPr="00DC4F35">
        <w:t>S</w:t>
      </w:r>
      <w:r w:rsidR="008C43FF" w:rsidRPr="00DC4F35">
        <w:t>tandardvilkåret om udlevering af personoplysninger til tredjelandes myndigheder i henhold til tredjelands lov</w:t>
      </w:r>
      <w:bookmarkEnd w:id="22"/>
      <w:bookmarkEnd w:id="23"/>
    </w:p>
    <w:p w14:paraId="59966D68" w14:textId="77070561" w:rsidR="008C43FF" w:rsidRPr="00DC4F35" w:rsidRDefault="008C43FF" w:rsidP="008C43FF">
      <w:pPr>
        <w:rPr>
          <w:iCs/>
        </w:rPr>
      </w:pPr>
      <w:r w:rsidRPr="00DC4F35">
        <w:rPr>
          <w:iCs/>
        </w:rPr>
        <w:t>Af Microsoft</w:t>
      </w:r>
      <w:r w:rsidR="00D73493" w:rsidRPr="00DC4F35">
        <w:rPr>
          <w:iCs/>
        </w:rPr>
        <w:t xml:space="preserve"> Irelands</w:t>
      </w:r>
      <w:r w:rsidRPr="00DC4F35">
        <w:rPr>
          <w:iCs/>
        </w:rPr>
        <w:t xml:space="preserve"> databehandleraftale</w:t>
      </w:r>
      <w:r w:rsidR="00834C85" w:rsidRPr="00DC4F35">
        <w:rPr>
          <w:iCs/>
        </w:rPr>
        <w:t>,</w:t>
      </w:r>
      <w:r w:rsidRPr="00DC4F35">
        <w:rPr>
          <w:iCs/>
        </w:rPr>
        <w:t xml:space="preserve"> side 6</w:t>
      </w:r>
      <w:r w:rsidR="00111F24" w:rsidRPr="00DC4F35">
        <w:rPr>
          <w:iCs/>
        </w:rPr>
        <w:t xml:space="preserve"> under</w:t>
      </w:r>
      <w:r w:rsidRPr="00DC4F35">
        <w:rPr>
          <w:iCs/>
        </w:rPr>
        <w:t xml:space="preserve"> punkt</w:t>
      </w:r>
      <w:r w:rsidR="00111F24" w:rsidRPr="00DC4F35">
        <w:rPr>
          <w:iCs/>
        </w:rPr>
        <w:t>et</w:t>
      </w:r>
      <w:r w:rsidRPr="00DC4F35">
        <w:rPr>
          <w:iCs/>
        </w:rPr>
        <w:t xml:space="preserve"> ”Disclosure of </w:t>
      </w:r>
      <w:proofErr w:type="spellStart"/>
      <w:r w:rsidRPr="00DC4F35">
        <w:rPr>
          <w:iCs/>
        </w:rPr>
        <w:t>Processed</w:t>
      </w:r>
      <w:proofErr w:type="spellEnd"/>
      <w:r w:rsidRPr="00DC4F35">
        <w:rPr>
          <w:iCs/>
        </w:rPr>
        <w:t xml:space="preserve"> Data”, fremgår følgende vedrørende udlevering af den dataansvarliges (her De Dataansvarlige) data, herunder personoplysninger:</w:t>
      </w:r>
    </w:p>
    <w:p w14:paraId="7AF01CFF" w14:textId="77777777" w:rsidR="008C43FF" w:rsidRPr="00DC4F35" w:rsidRDefault="008C43FF" w:rsidP="008C43FF">
      <w:pPr>
        <w:rPr>
          <w:iCs/>
        </w:rPr>
      </w:pPr>
    </w:p>
    <w:p w14:paraId="68956A41" w14:textId="77777777" w:rsidR="008C43FF" w:rsidRPr="001C19E7" w:rsidRDefault="008C43FF" w:rsidP="00A556F1">
      <w:pPr>
        <w:ind w:left="1276"/>
        <w:rPr>
          <w:i/>
          <w:lang w:val="en-US"/>
        </w:rPr>
      </w:pPr>
      <w:r w:rsidRPr="001C19E7">
        <w:rPr>
          <w:i/>
          <w:lang w:val="en-US"/>
        </w:rPr>
        <w:t>“</w:t>
      </w:r>
      <w:r w:rsidRPr="001C19E7">
        <w:rPr>
          <w:i/>
          <w:u w:val="single"/>
          <w:lang w:val="en-US"/>
        </w:rPr>
        <w:t>Microsoft will not disclose or provide access to any Processed Data except: (1) as Customer directs; (2) as described in this DPA; or (3) as required by law.</w:t>
      </w:r>
      <w:r w:rsidRPr="001C19E7">
        <w:rPr>
          <w:i/>
          <w:lang w:val="en-US"/>
        </w:rPr>
        <w:t xml:space="preserve"> For purposes of this section, “Processed Data” means: (a) Customer Data; (b) Professional Services Data; (c) Personal Data; and (d) any other data processed by Microsoft in connection with the Products and Services that is Customer’s confidential information under Customer’s agreement. All processing of Processed Data is subject to Microsoft’s obligation of confidentiality under Customer’s agreement. </w:t>
      </w:r>
    </w:p>
    <w:p w14:paraId="471A3720" w14:textId="77777777" w:rsidR="008C43FF" w:rsidRPr="001C19E7" w:rsidRDefault="008C43FF" w:rsidP="00A556F1">
      <w:pPr>
        <w:ind w:left="1276"/>
        <w:rPr>
          <w:i/>
          <w:lang w:val="en-US"/>
        </w:rPr>
      </w:pPr>
    </w:p>
    <w:p w14:paraId="53C19599" w14:textId="77777777" w:rsidR="008C43FF" w:rsidRPr="001C19E7" w:rsidRDefault="008C43FF" w:rsidP="00A556F1">
      <w:pPr>
        <w:ind w:left="1276"/>
        <w:rPr>
          <w:i/>
          <w:lang w:val="en-US"/>
        </w:rPr>
      </w:pPr>
      <w:r w:rsidRPr="001C19E7">
        <w:rPr>
          <w:i/>
          <w:u w:val="single"/>
          <w:lang w:val="en-US"/>
        </w:rPr>
        <w:t>Microsoft will not disclose or provide access to any Processed Data to law enforcement unless required by law.</w:t>
      </w:r>
      <w:r w:rsidRPr="001C19E7">
        <w:rPr>
          <w:i/>
          <w:lang w:val="en-US"/>
        </w:rPr>
        <w:t xml:space="preserve"> If law enforcement contacts Microsoft with a demand for Processed Data, Microsoft will attempt to redirect the law enforcement agency to request that data directly from Customer. If compelled to disclose or provide access to any Processed Data to law enforcement, Microsoft will promptly notify Customer and provide a copy of the demand unless legally prohibited from doing so.</w:t>
      </w:r>
    </w:p>
    <w:p w14:paraId="4494F9A8" w14:textId="77777777" w:rsidR="008C43FF" w:rsidRPr="001C19E7" w:rsidRDefault="008C43FF" w:rsidP="00A556F1">
      <w:pPr>
        <w:ind w:left="1276"/>
        <w:rPr>
          <w:i/>
          <w:lang w:val="en-US"/>
        </w:rPr>
      </w:pPr>
    </w:p>
    <w:p w14:paraId="223A6B2A" w14:textId="77777777" w:rsidR="008C43FF" w:rsidRPr="001C19E7" w:rsidRDefault="008C43FF" w:rsidP="00A556F1">
      <w:pPr>
        <w:ind w:left="1276"/>
        <w:rPr>
          <w:i/>
          <w:lang w:val="en-US"/>
        </w:rPr>
      </w:pPr>
      <w:r w:rsidRPr="001C19E7">
        <w:rPr>
          <w:i/>
          <w:u w:val="single"/>
          <w:lang w:val="en-US"/>
        </w:rPr>
        <w:t>Upon receipt of any other third-party request for Processed Data, Microsoft will promptly notify Customer unless prohibited by law.</w:t>
      </w:r>
      <w:r w:rsidRPr="001C19E7">
        <w:rPr>
          <w:i/>
          <w:lang w:val="en-US"/>
        </w:rPr>
        <w:t xml:space="preserve"> </w:t>
      </w:r>
      <w:r w:rsidRPr="001C19E7">
        <w:rPr>
          <w:i/>
          <w:u w:val="single"/>
          <w:lang w:val="en-US"/>
        </w:rPr>
        <w:t xml:space="preserve">Microsoft will reject the request unless required </w:t>
      </w:r>
      <w:r w:rsidRPr="001C19E7">
        <w:rPr>
          <w:i/>
          <w:u w:val="single"/>
          <w:lang w:val="en-US"/>
        </w:rPr>
        <w:lastRenderedPageBreak/>
        <w:t>by law to comply.</w:t>
      </w:r>
      <w:r w:rsidRPr="001C19E7">
        <w:rPr>
          <w:i/>
          <w:lang w:val="en-US"/>
        </w:rPr>
        <w:t xml:space="preserve"> If the request is valid, Microsoft will attempt to redirect the third party to request the data directly from Customer.</w:t>
      </w:r>
    </w:p>
    <w:p w14:paraId="362DE886" w14:textId="77777777" w:rsidR="008C43FF" w:rsidRPr="001C19E7" w:rsidRDefault="008C43FF" w:rsidP="00A556F1">
      <w:pPr>
        <w:ind w:left="1276"/>
        <w:rPr>
          <w:i/>
          <w:lang w:val="en-US"/>
        </w:rPr>
      </w:pPr>
    </w:p>
    <w:p w14:paraId="1A3E3459" w14:textId="77777777" w:rsidR="008C43FF" w:rsidRPr="001C19E7" w:rsidRDefault="008C43FF" w:rsidP="00A556F1">
      <w:pPr>
        <w:ind w:left="1276"/>
        <w:rPr>
          <w:i/>
          <w:lang w:val="en-US"/>
        </w:rPr>
      </w:pPr>
      <w:r w:rsidRPr="001C19E7">
        <w:rPr>
          <w:i/>
          <w:lang w:val="en-US"/>
        </w:rPr>
        <w:t>Microsoft will only disclose or provide access to any Processed Data as required by law provided that the laws and practices respect the essence of the fundamental rights and freedoms and do not exceed what is necessary and proportionate in a democratic society and, as applicable, to safeguard one of the objectives listed in Article 23(1) of GDPR.</w:t>
      </w:r>
    </w:p>
    <w:p w14:paraId="5F6B01BD" w14:textId="77777777" w:rsidR="008C43FF" w:rsidRPr="001C19E7" w:rsidRDefault="008C43FF" w:rsidP="00A556F1">
      <w:pPr>
        <w:ind w:left="1276"/>
        <w:rPr>
          <w:i/>
          <w:lang w:val="en-US"/>
        </w:rPr>
      </w:pPr>
    </w:p>
    <w:p w14:paraId="272E8D79" w14:textId="77777777" w:rsidR="008C43FF" w:rsidRPr="001C19E7" w:rsidRDefault="008C43FF" w:rsidP="00A556F1">
      <w:pPr>
        <w:ind w:left="1276"/>
        <w:rPr>
          <w:i/>
          <w:lang w:val="en-US"/>
        </w:rPr>
      </w:pPr>
      <w:r w:rsidRPr="001C19E7">
        <w:rPr>
          <w:i/>
          <w:lang w:val="en-US"/>
        </w:rPr>
        <w:t xml:space="preserve">Microsoft will not provide any third party: (a) direct, indirect, blanket, or unfettered access to Processed Data; (b) platform encryption keys used to secure Processed Data or the ability to break such encryption; or (c) access to Processed Data if Microsoft is aware that the data is to be used for purposes other than those stated in the third party’s request. </w:t>
      </w:r>
    </w:p>
    <w:p w14:paraId="3FF61E51" w14:textId="77777777" w:rsidR="008C43FF" w:rsidRPr="001C19E7" w:rsidRDefault="008C43FF" w:rsidP="00A556F1">
      <w:pPr>
        <w:ind w:left="1276"/>
        <w:rPr>
          <w:i/>
          <w:lang w:val="en-US"/>
        </w:rPr>
      </w:pPr>
    </w:p>
    <w:p w14:paraId="5FF5EE94" w14:textId="77777777" w:rsidR="008C43FF" w:rsidRPr="00DC4F35" w:rsidRDefault="008C43FF" w:rsidP="00A556F1">
      <w:pPr>
        <w:ind w:left="1276"/>
        <w:rPr>
          <w:iCs/>
        </w:rPr>
      </w:pPr>
      <w:r w:rsidRPr="001C19E7">
        <w:rPr>
          <w:i/>
          <w:lang w:val="en-US"/>
        </w:rPr>
        <w:t xml:space="preserve">In support of the above, Microsoft may provide Customer’s basic contact information to the third party.” </w:t>
      </w:r>
      <w:r w:rsidRPr="00DC4F35">
        <w:rPr>
          <w:iCs/>
        </w:rPr>
        <w:t>(Vores understregninger.)</w:t>
      </w:r>
    </w:p>
    <w:p w14:paraId="78CE85D8" w14:textId="77777777" w:rsidR="008C43FF" w:rsidRPr="00DC4F35" w:rsidRDefault="008C43FF" w:rsidP="008C43FF">
      <w:pPr>
        <w:rPr>
          <w:iCs/>
        </w:rPr>
      </w:pPr>
    </w:p>
    <w:p w14:paraId="25F1A6C2" w14:textId="526A5105" w:rsidR="008C43FF" w:rsidRPr="00DC4F35" w:rsidRDefault="008C43FF" w:rsidP="008C43FF">
      <w:pPr>
        <w:rPr>
          <w:iCs/>
        </w:rPr>
      </w:pPr>
      <w:r w:rsidRPr="00DC4F35">
        <w:rPr>
          <w:iCs/>
        </w:rPr>
        <w:t xml:space="preserve">Microsoft </w:t>
      </w:r>
      <w:r w:rsidR="008B5E0D" w:rsidRPr="00DC4F35">
        <w:rPr>
          <w:iCs/>
        </w:rPr>
        <w:t xml:space="preserve">Ireland </w:t>
      </w:r>
      <w:r w:rsidRPr="00DC4F35">
        <w:rPr>
          <w:iCs/>
        </w:rPr>
        <w:t>kan således ifølge Microsoft</w:t>
      </w:r>
      <w:r w:rsidR="008B5E0D" w:rsidRPr="00DC4F35">
        <w:rPr>
          <w:iCs/>
        </w:rPr>
        <w:t xml:space="preserve"> Irelands</w:t>
      </w:r>
      <w:r w:rsidRPr="00DC4F35">
        <w:rPr>
          <w:iCs/>
        </w:rPr>
        <w:t xml:space="preserve"> databehandleraftale udlevere personoplysninger til en ordensmagt eller andre tredjemænd i tredjelande, hvis påkrævet ved lov. Det bemærkes, at det ikke nærmere er angivet i aftalegrundlaget, hvilke landes lovgivning der er tale om.</w:t>
      </w:r>
    </w:p>
    <w:p w14:paraId="42971A8C" w14:textId="77777777" w:rsidR="008C43FF" w:rsidRPr="00DC4F35" w:rsidRDefault="008C43FF" w:rsidP="008C43FF">
      <w:pPr>
        <w:rPr>
          <w:iCs/>
        </w:rPr>
      </w:pPr>
    </w:p>
    <w:p w14:paraId="39E23DEF" w14:textId="08029E85" w:rsidR="008C43FF" w:rsidRPr="00DC4F35" w:rsidRDefault="008C43FF" w:rsidP="008C43FF">
      <w:pPr>
        <w:rPr>
          <w:iCs/>
        </w:rPr>
      </w:pPr>
      <w:r w:rsidRPr="00DC4F35">
        <w:rPr>
          <w:iCs/>
        </w:rPr>
        <w:t>”</w:t>
      </w:r>
      <w:proofErr w:type="spellStart"/>
      <w:r w:rsidRPr="00DC4F35">
        <w:rPr>
          <w:iCs/>
        </w:rPr>
        <w:t>Processed</w:t>
      </w:r>
      <w:proofErr w:type="spellEnd"/>
      <w:r w:rsidRPr="00DC4F35">
        <w:rPr>
          <w:iCs/>
        </w:rPr>
        <w:t xml:space="preserve"> Data” er defineret sådan, at det omfatter alle typer af oplysninger, som Microsoft </w:t>
      </w:r>
      <w:r w:rsidR="00530A75" w:rsidRPr="00DC4F35">
        <w:rPr>
          <w:iCs/>
        </w:rPr>
        <w:t xml:space="preserve">Ireland </w:t>
      </w:r>
      <w:r w:rsidRPr="00DC4F35">
        <w:rPr>
          <w:iCs/>
        </w:rPr>
        <w:t>opererer med, herunder personoplysninger.</w:t>
      </w:r>
    </w:p>
    <w:p w14:paraId="376EC1D5" w14:textId="77777777" w:rsidR="008C43FF" w:rsidRPr="00DC4F35" w:rsidRDefault="008C43FF" w:rsidP="008C43FF">
      <w:pPr>
        <w:rPr>
          <w:iCs/>
        </w:rPr>
      </w:pPr>
    </w:p>
    <w:p w14:paraId="2F0ED136" w14:textId="3E6462D2" w:rsidR="008C43FF" w:rsidRPr="00DC4F35" w:rsidRDefault="00F0005E" w:rsidP="008C43FF">
      <w:pPr>
        <w:pStyle w:val="Overskrift4"/>
      </w:pPr>
      <w:bookmarkStart w:id="24" w:name="_Toc162873932"/>
      <w:bookmarkStart w:id="25" w:name="_Ref164347895"/>
      <w:bookmarkStart w:id="26" w:name="_Ref164368184"/>
      <w:bookmarkStart w:id="27" w:name="_Ref165127107"/>
      <w:bookmarkStart w:id="28" w:name="_Ref165145322"/>
      <w:r w:rsidRPr="00DC4F35">
        <w:t>T</w:t>
      </w:r>
      <w:r w:rsidR="008C43FF" w:rsidRPr="00DC4F35">
        <w:t>ilføjelse til standardvilkåret om udlevering af personoplysninger til tredjelandes myndigheder i henhold til tredjelands lov</w:t>
      </w:r>
      <w:bookmarkEnd w:id="24"/>
      <w:bookmarkEnd w:id="25"/>
      <w:bookmarkEnd w:id="26"/>
      <w:bookmarkEnd w:id="27"/>
      <w:bookmarkEnd w:id="28"/>
    </w:p>
    <w:p w14:paraId="667CCD5F" w14:textId="07571CE2" w:rsidR="008C43FF" w:rsidRPr="00DC4F35" w:rsidRDefault="008C43FF" w:rsidP="008C43FF">
      <w:r w:rsidRPr="00DC4F35">
        <w:t>Ovenstående standardvilkår ændre</w:t>
      </w:r>
      <w:r w:rsidR="00F0005E" w:rsidRPr="00DC4F35">
        <w:t>s</w:t>
      </w:r>
      <w:r w:rsidRPr="00DC4F35">
        <w:t>/præcisere</w:t>
      </w:r>
      <w:r w:rsidR="00F0005E" w:rsidRPr="00DC4F35">
        <w:t>s</w:t>
      </w:r>
      <w:r w:rsidRPr="00DC4F35">
        <w:t xml:space="preserve"> i et tillæg til </w:t>
      </w:r>
      <w:proofErr w:type="spellStart"/>
      <w:r w:rsidRPr="00DC4F35">
        <w:t>MBSA’en</w:t>
      </w:r>
      <w:proofErr w:type="spellEnd"/>
      <w:r w:rsidRPr="00DC4F35">
        <w:t>, hvor også øvrige ændringer til Microsoft</w:t>
      </w:r>
      <w:r w:rsidR="00FC0226" w:rsidRPr="00DC4F35">
        <w:t xml:space="preserve"> Irelands</w:t>
      </w:r>
      <w:r w:rsidRPr="00DC4F35">
        <w:t xml:space="preserve"> standardvilkår i </w:t>
      </w:r>
      <w:proofErr w:type="spellStart"/>
      <w:r w:rsidRPr="00DC4F35">
        <w:t>MBSA’en</w:t>
      </w:r>
      <w:proofErr w:type="spellEnd"/>
      <w:r w:rsidRPr="00DC4F35">
        <w:t xml:space="preserve"> fremgår. Der </w:t>
      </w:r>
      <w:r w:rsidR="00F0005E" w:rsidRPr="00DC4F35">
        <w:t>gælder således følgende for aftaleforholdet</w:t>
      </w:r>
      <w:r w:rsidRPr="00DC4F35">
        <w:t>:</w:t>
      </w:r>
    </w:p>
    <w:p w14:paraId="5CDF9DA9" w14:textId="77777777" w:rsidR="008C43FF" w:rsidRPr="00DC4F35" w:rsidRDefault="008C43FF" w:rsidP="008C43FF"/>
    <w:p w14:paraId="09B048AB" w14:textId="77777777" w:rsidR="008C43FF" w:rsidRPr="00DC4F35" w:rsidRDefault="008C43FF" w:rsidP="00A556F1">
      <w:pPr>
        <w:tabs>
          <w:tab w:val="left" w:pos="1276"/>
        </w:tabs>
        <w:ind w:left="1276"/>
        <w:rPr>
          <w:b/>
          <w:bCs/>
          <w:i/>
          <w:iCs/>
        </w:rPr>
      </w:pPr>
      <w:r w:rsidRPr="00DC4F35">
        <w:rPr>
          <w:i/>
          <w:iCs/>
        </w:rPr>
        <w:t>”</w:t>
      </w:r>
      <w:r w:rsidRPr="00DC4F35">
        <w:rPr>
          <w:b/>
          <w:bCs/>
          <w:i/>
          <w:iCs/>
        </w:rPr>
        <w:t xml:space="preserve">Non-EU </w:t>
      </w:r>
      <w:proofErr w:type="spellStart"/>
      <w:r w:rsidRPr="00DC4F35">
        <w:rPr>
          <w:b/>
          <w:bCs/>
          <w:i/>
          <w:iCs/>
        </w:rPr>
        <w:t>Government</w:t>
      </w:r>
      <w:proofErr w:type="spellEnd"/>
      <w:r w:rsidRPr="00DC4F35">
        <w:rPr>
          <w:b/>
          <w:bCs/>
          <w:i/>
          <w:iCs/>
        </w:rPr>
        <w:t xml:space="preserve"> </w:t>
      </w:r>
      <w:proofErr w:type="spellStart"/>
      <w:r w:rsidRPr="00DC4F35">
        <w:rPr>
          <w:b/>
          <w:bCs/>
          <w:i/>
          <w:iCs/>
        </w:rPr>
        <w:t>Requests</w:t>
      </w:r>
      <w:proofErr w:type="spellEnd"/>
      <w:r w:rsidRPr="00DC4F35">
        <w:rPr>
          <w:b/>
          <w:bCs/>
          <w:i/>
          <w:iCs/>
        </w:rPr>
        <w:t xml:space="preserve"> </w:t>
      </w:r>
      <w:proofErr w:type="spellStart"/>
      <w:r w:rsidRPr="00DC4F35">
        <w:rPr>
          <w:b/>
          <w:bCs/>
          <w:i/>
          <w:iCs/>
        </w:rPr>
        <w:t>Regarding</w:t>
      </w:r>
      <w:proofErr w:type="spellEnd"/>
      <w:r w:rsidRPr="00DC4F35">
        <w:rPr>
          <w:b/>
          <w:bCs/>
          <w:i/>
          <w:iCs/>
        </w:rPr>
        <w:t xml:space="preserve"> </w:t>
      </w:r>
      <w:proofErr w:type="spellStart"/>
      <w:r w:rsidRPr="00DC4F35">
        <w:rPr>
          <w:b/>
          <w:bCs/>
          <w:i/>
          <w:iCs/>
        </w:rPr>
        <w:t>Processed</w:t>
      </w:r>
      <w:proofErr w:type="spellEnd"/>
      <w:r w:rsidRPr="00DC4F35">
        <w:rPr>
          <w:b/>
          <w:bCs/>
          <w:i/>
          <w:iCs/>
        </w:rPr>
        <w:t xml:space="preserve"> Data</w:t>
      </w:r>
    </w:p>
    <w:p w14:paraId="4AE08DA7" w14:textId="77777777" w:rsidR="008C43FF" w:rsidRPr="001C19E7" w:rsidRDefault="008C43FF" w:rsidP="00A556F1">
      <w:pPr>
        <w:tabs>
          <w:tab w:val="left" w:pos="1276"/>
        </w:tabs>
        <w:ind w:left="1276"/>
        <w:rPr>
          <w:b/>
          <w:bCs/>
          <w:i/>
          <w:iCs/>
          <w:lang w:val="en-US"/>
        </w:rPr>
      </w:pPr>
      <w:r w:rsidRPr="001C19E7">
        <w:rPr>
          <w:b/>
          <w:bCs/>
          <w:i/>
          <w:iCs/>
          <w:lang w:val="en-US"/>
        </w:rPr>
        <w:t xml:space="preserve">Amendment </w:t>
      </w:r>
      <w:proofErr w:type="gramStart"/>
      <w:r w:rsidRPr="001C19E7">
        <w:rPr>
          <w:b/>
          <w:bCs/>
          <w:i/>
          <w:iCs/>
          <w:lang w:val="en-US"/>
        </w:rPr>
        <w:t>[ ]</w:t>
      </w:r>
      <w:proofErr w:type="gramEnd"/>
    </w:p>
    <w:p w14:paraId="23A72F17" w14:textId="77777777" w:rsidR="008C43FF" w:rsidRPr="001C19E7" w:rsidRDefault="008C43FF" w:rsidP="00A556F1">
      <w:pPr>
        <w:tabs>
          <w:tab w:val="left" w:pos="1276"/>
        </w:tabs>
        <w:ind w:left="1276"/>
        <w:rPr>
          <w:i/>
          <w:iCs/>
          <w:lang w:val="en-US"/>
        </w:rPr>
      </w:pPr>
      <w:r w:rsidRPr="001C19E7">
        <w:rPr>
          <w:i/>
          <w:iCs/>
          <w:lang w:val="en-US"/>
        </w:rPr>
        <w:t>The parties agree that the Enrollment is amended by adding the following section:</w:t>
      </w:r>
    </w:p>
    <w:p w14:paraId="5FC63CA7" w14:textId="77777777" w:rsidR="008C43FF" w:rsidRPr="001C19E7" w:rsidRDefault="008C43FF" w:rsidP="00A556F1">
      <w:pPr>
        <w:tabs>
          <w:tab w:val="left" w:pos="1276"/>
        </w:tabs>
        <w:ind w:left="1276"/>
        <w:rPr>
          <w:i/>
          <w:iCs/>
          <w:lang w:val="en-US"/>
        </w:rPr>
      </w:pPr>
    </w:p>
    <w:p w14:paraId="5311AE74" w14:textId="77777777" w:rsidR="008C43FF" w:rsidRPr="00C83C91" w:rsidRDefault="008C43FF" w:rsidP="00A556F1">
      <w:pPr>
        <w:tabs>
          <w:tab w:val="left" w:pos="1276"/>
        </w:tabs>
        <w:ind w:left="1276"/>
        <w:rPr>
          <w:b/>
          <w:bCs/>
          <w:i/>
          <w:iCs/>
          <w:lang w:val="en-US"/>
        </w:rPr>
      </w:pPr>
      <w:r w:rsidRPr="00C83C91">
        <w:rPr>
          <w:b/>
          <w:bCs/>
          <w:i/>
          <w:iCs/>
          <w:lang w:val="en-US"/>
        </w:rPr>
        <w:t>Disclosure of Processed Data</w:t>
      </w:r>
    </w:p>
    <w:p w14:paraId="685E8589" w14:textId="77777777" w:rsidR="008C43FF" w:rsidRPr="001C19E7" w:rsidRDefault="008C43FF" w:rsidP="00A556F1">
      <w:pPr>
        <w:tabs>
          <w:tab w:val="left" w:pos="1276"/>
        </w:tabs>
        <w:ind w:left="1276"/>
        <w:rPr>
          <w:i/>
          <w:iCs/>
          <w:lang w:val="en-US"/>
        </w:rPr>
      </w:pPr>
      <w:r w:rsidRPr="001C19E7">
        <w:rPr>
          <w:i/>
          <w:iCs/>
          <w:lang w:val="en-US"/>
        </w:rPr>
        <w:t xml:space="preserve">The section of the applicable Microsoft Product and Services Data Protection Addendum (“MP&amp;SDPA for purpose of this Amendment) entitled “Disclosure of Processed Data;” applies to Product and Services as defined in the MP&amp;SDPA and provided under this Enrollment with the following addition. </w:t>
      </w:r>
    </w:p>
    <w:p w14:paraId="0D35BA1B" w14:textId="77777777" w:rsidR="008C43FF" w:rsidRPr="001C19E7" w:rsidRDefault="008C43FF" w:rsidP="00A556F1">
      <w:pPr>
        <w:tabs>
          <w:tab w:val="left" w:pos="1276"/>
        </w:tabs>
        <w:ind w:left="1276"/>
        <w:rPr>
          <w:i/>
          <w:iCs/>
          <w:lang w:val="en-US"/>
        </w:rPr>
      </w:pPr>
    </w:p>
    <w:p w14:paraId="61314F69" w14:textId="77777777" w:rsidR="008C43FF" w:rsidRPr="00DC4F35" w:rsidRDefault="008C43FF" w:rsidP="00A556F1">
      <w:pPr>
        <w:tabs>
          <w:tab w:val="left" w:pos="1276"/>
        </w:tabs>
        <w:ind w:left="1276"/>
      </w:pPr>
      <w:r w:rsidRPr="001C19E7">
        <w:rPr>
          <w:i/>
          <w:iCs/>
          <w:u w:val="single"/>
          <w:lang w:val="en-US"/>
        </w:rPr>
        <w:t>In all cases without exception, Microsoft will adhere to EU law in the event that Microsoft receives a legal request for Processed Data from a non-EU government authority.</w:t>
      </w:r>
      <w:r w:rsidRPr="001C19E7">
        <w:rPr>
          <w:i/>
          <w:iCs/>
          <w:lang w:val="en-US"/>
        </w:rPr>
        <w:t>”</w:t>
      </w:r>
      <w:r w:rsidRPr="001C19E7">
        <w:rPr>
          <w:lang w:val="en-US"/>
        </w:rPr>
        <w:t xml:space="preserve"> </w:t>
      </w:r>
      <w:r w:rsidRPr="00DC4F35">
        <w:t>(Vores understregning.)</w:t>
      </w:r>
    </w:p>
    <w:p w14:paraId="3BC0526D" w14:textId="77777777" w:rsidR="008C43FF" w:rsidRPr="00DC4F35" w:rsidRDefault="008C43FF" w:rsidP="008C43FF"/>
    <w:p w14:paraId="5DF435E5" w14:textId="34A68B40" w:rsidR="00EF1534" w:rsidRPr="00DC4F35" w:rsidRDefault="008C43FF" w:rsidP="008C43FF">
      <w:r w:rsidRPr="00DC4F35">
        <w:t>Hensigten er kontraktuelt at ændre det forbehold, der er i standardvilkårene i Microsoft</w:t>
      </w:r>
      <w:r w:rsidR="00086559" w:rsidRPr="00DC4F35">
        <w:t xml:space="preserve"> Irelands</w:t>
      </w:r>
      <w:r w:rsidRPr="00DC4F35">
        <w:t xml:space="preserve"> databehandleraftale, hvorefter tilfælde af udlevering af data, herunder personoplysninger, til tredjelandes myndigheder i henhold til tredjelands lov på nuværende tidspunkt forsøges begrænset, men ikke er udelukket. </w:t>
      </w:r>
    </w:p>
    <w:p w14:paraId="7C56B111" w14:textId="77777777" w:rsidR="00EF1534" w:rsidRPr="00DC4F35" w:rsidRDefault="00EF1534" w:rsidP="008C43FF"/>
    <w:p w14:paraId="5C26ECEC" w14:textId="325DDE7D" w:rsidR="008C43FF" w:rsidRPr="001C19E7" w:rsidRDefault="00F0005E" w:rsidP="008C43FF">
      <w:pPr>
        <w:rPr>
          <w:lang w:val="en-US"/>
        </w:rPr>
      </w:pPr>
      <w:r w:rsidRPr="00DC4F35">
        <w:t xml:space="preserve">Til brug for nærværende konsekvensanalyse, er Microsoft </w:t>
      </w:r>
      <w:r w:rsidR="002C02C8" w:rsidRPr="00DC4F35">
        <w:t xml:space="preserve">Ireland </w:t>
      </w:r>
      <w:r w:rsidRPr="00DC4F35">
        <w:t>blevet adspurgt, om denne tilføjelse til standardvilkårene efter Microsoft</w:t>
      </w:r>
      <w:r w:rsidR="002C02C8" w:rsidRPr="00DC4F35">
        <w:t xml:space="preserve"> Irelands</w:t>
      </w:r>
      <w:r w:rsidRPr="00DC4F35">
        <w:t xml:space="preserve"> opfattelse kun gælder</w:t>
      </w:r>
      <w:r w:rsidR="00EF1534" w:rsidRPr="00DC4F35">
        <w:t>,</w:t>
      </w:r>
      <w:r w:rsidRPr="00DC4F35">
        <w:t xml:space="preserve"> for så vidt personoplysningerne ikke allerede fysisk er overført til det pågældende tredjeland. </w:t>
      </w:r>
      <w:r w:rsidRPr="001C19E7">
        <w:rPr>
          <w:lang w:val="en-US"/>
        </w:rPr>
        <w:t xml:space="preserve">Microsoft </w:t>
      </w:r>
      <w:proofErr w:type="spellStart"/>
      <w:r w:rsidRPr="001C19E7">
        <w:rPr>
          <w:lang w:val="en-US"/>
        </w:rPr>
        <w:t>ha</w:t>
      </w:r>
      <w:r w:rsidR="00EF1534" w:rsidRPr="001C19E7">
        <w:rPr>
          <w:lang w:val="en-US"/>
        </w:rPr>
        <w:t>r</w:t>
      </w:r>
      <w:proofErr w:type="spellEnd"/>
      <w:r w:rsidR="00EF1534" w:rsidRPr="001C19E7">
        <w:rPr>
          <w:lang w:val="en-US"/>
        </w:rPr>
        <w:t xml:space="preserve"> </w:t>
      </w:r>
      <w:proofErr w:type="spellStart"/>
      <w:r w:rsidR="00EF1534" w:rsidRPr="001C19E7">
        <w:rPr>
          <w:lang w:val="en-US"/>
        </w:rPr>
        <w:t>hertil</w:t>
      </w:r>
      <w:proofErr w:type="spellEnd"/>
      <w:r w:rsidR="00EF1534" w:rsidRPr="001C19E7">
        <w:rPr>
          <w:lang w:val="en-US"/>
        </w:rPr>
        <w:t xml:space="preserve"> </w:t>
      </w:r>
      <w:proofErr w:type="spellStart"/>
      <w:r w:rsidRPr="001C19E7">
        <w:rPr>
          <w:lang w:val="en-US"/>
        </w:rPr>
        <w:t>svaret</w:t>
      </w:r>
      <w:proofErr w:type="spellEnd"/>
      <w:r w:rsidR="00EF1534" w:rsidRPr="001C19E7">
        <w:rPr>
          <w:lang w:val="en-US"/>
        </w:rPr>
        <w:t xml:space="preserve"> </w:t>
      </w:r>
      <w:proofErr w:type="spellStart"/>
      <w:r w:rsidR="00EF1534" w:rsidRPr="001C19E7">
        <w:rPr>
          <w:lang w:val="en-US"/>
        </w:rPr>
        <w:t>følgende</w:t>
      </w:r>
      <w:proofErr w:type="spellEnd"/>
      <w:r w:rsidR="00EF1534" w:rsidRPr="001C19E7">
        <w:rPr>
          <w:lang w:val="en-US"/>
        </w:rPr>
        <w:t>:</w:t>
      </w:r>
      <w:r w:rsidRPr="001C19E7">
        <w:rPr>
          <w:lang w:val="en-US"/>
        </w:rPr>
        <w:t xml:space="preserve"> </w:t>
      </w:r>
    </w:p>
    <w:p w14:paraId="3A38852F" w14:textId="77777777" w:rsidR="00A65BBE" w:rsidRPr="001C19E7" w:rsidRDefault="00A65BBE" w:rsidP="008C43FF">
      <w:pPr>
        <w:rPr>
          <w:lang w:val="en-US"/>
        </w:rPr>
      </w:pPr>
    </w:p>
    <w:p w14:paraId="0D8049F7" w14:textId="00B0F6BE" w:rsidR="00A65BBE" w:rsidRPr="001C19E7" w:rsidRDefault="00A65BBE" w:rsidP="00A65BBE">
      <w:pPr>
        <w:ind w:left="1304"/>
        <w:rPr>
          <w:i/>
          <w:iCs/>
          <w:lang w:val="en-US"/>
        </w:rPr>
      </w:pPr>
      <w:proofErr w:type="gramStart"/>
      <w:r w:rsidRPr="001C19E7">
        <w:rPr>
          <w:i/>
          <w:iCs/>
          <w:lang w:val="en-US"/>
        </w:rPr>
        <w:t>”The</w:t>
      </w:r>
      <w:proofErr w:type="gramEnd"/>
      <w:r w:rsidRPr="001C19E7">
        <w:rPr>
          <w:i/>
          <w:iCs/>
          <w:lang w:val="en-US"/>
        </w:rPr>
        <w:t xml:space="preserve"> wording provided does not suggest that Microsoft draws such distinctions. On the contrary, the wording clearly articulates Microsoft’s unwavering commitment "in all cases" and "without exception". To eliminate any confusion, we can confirm that Microsoft rigorously reviews legal demands from any government authority for compliance with EU/EEA law. As for the specific question, the transfer of data to a third country does not affect this process or the commitment provided.”</w:t>
      </w:r>
    </w:p>
    <w:p w14:paraId="64CE97E9" w14:textId="77777777" w:rsidR="00A65BBE" w:rsidRPr="001C19E7" w:rsidRDefault="00A65BBE" w:rsidP="008C43FF">
      <w:pPr>
        <w:rPr>
          <w:lang w:val="en-US"/>
        </w:rPr>
      </w:pPr>
    </w:p>
    <w:p w14:paraId="5C5C04F5" w14:textId="5C22D8F7" w:rsidR="008C43FF" w:rsidRPr="00DC4F35" w:rsidRDefault="00A65BBE" w:rsidP="008C43FF">
      <w:r w:rsidRPr="00DC4F35">
        <w:t xml:space="preserve">Microsoft </w:t>
      </w:r>
      <w:r w:rsidR="0050050A" w:rsidRPr="00DC4F35">
        <w:t xml:space="preserve">Ireland </w:t>
      </w:r>
      <w:r w:rsidRPr="00DC4F35">
        <w:t>forpligter sig således til at overholde EU-retten i ethvert tilfælde, såfremt Microsoft modtager en udleveringsanmodning fra et tredjeland</w:t>
      </w:r>
      <w:r w:rsidR="00DB2D3C" w:rsidRPr="00DC4F35">
        <w:t>,</w:t>
      </w:r>
      <w:r w:rsidRPr="00DC4F35">
        <w:t xml:space="preserve"> uanset om personoplysninger fysisk er overført</w:t>
      </w:r>
      <w:r w:rsidR="00806F14" w:rsidRPr="00DC4F35">
        <w:t xml:space="preserve"> til et tredjeland eller opbevares i EU</w:t>
      </w:r>
      <w:r w:rsidRPr="00DC4F35">
        <w:t xml:space="preserve"> på trods af et tredjelands jurisdiktion i det pågældende land.</w:t>
      </w:r>
    </w:p>
    <w:p w14:paraId="0D34F9F2" w14:textId="77777777" w:rsidR="003744DA" w:rsidRPr="00DC4F35" w:rsidRDefault="003744DA" w:rsidP="008C43FF">
      <w:pPr>
        <w:rPr>
          <w:iCs/>
        </w:rPr>
      </w:pPr>
    </w:p>
    <w:p w14:paraId="51370212" w14:textId="1332A72B" w:rsidR="008C43FF" w:rsidRPr="00DC4F35" w:rsidRDefault="008C43FF" w:rsidP="008C43FF">
      <w:pPr>
        <w:rPr>
          <w:iCs/>
        </w:rPr>
      </w:pPr>
      <w:r w:rsidRPr="00DC4F35">
        <w:rPr>
          <w:iCs/>
        </w:rPr>
        <w:t>Desuden er der i Microsoft</w:t>
      </w:r>
      <w:r w:rsidR="00F544AF" w:rsidRPr="00DC4F35">
        <w:rPr>
          <w:iCs/>
        </w:rPr>
        <w:t xml:space="preserve"> Irelands</w:t>
      </w:r>
      <w:r w:rsidRPr="00DC4F35">
        <w:rPr>
          <w:iCs/>
        </w:rPr>
        <w:t xml:space="preserve"> databehandleraftale </w:t>
      </w:r>
      <w:proofErr w:type="spellStart"/>
      <w:r w:rsidRPr="00DC4F35">
        <w:rPr>
          <w:iCs/>
        </w:rPr>
        <w:t>Appendix</w:t>
      </w:r>
      <w:proofErr w:type="spellEnd"/>
      <w:r w:rsidRPr="00DC4F35">
        <w:rPr>
          <w:iCs/>
        </w:rPr>
        <w:t xml:space="preserve"> C anført følgende sikkerhedsforanstaltning (nr. 1):</w:t>
      </w:r>
    </w:p>
    <w:p w14:paraId="465748ED" w14:textId="77777777" w:rsidR="008C43FF" w:rsidRPr="00DC4F35" w:rsidRDefault="008C43FF" w:rsidP="008C43FF">
      <w:pPr>
        <w:rPr>
          <w:iCs/>
        </w:rPr>
      </w:pPr>
    </w:p>
    <w:p w14:paraId="1D958484" w14:textId="77777777" w:rsidR="008C43FF" w:rsidRPr="001C19E7" w:rsidRDefault="008C43FF" w:rsidP="00A556F1">
      <w:pPr>
        <w:ind w:left="1276"/>
        <w:rPr>
          <w:i/>
          <w:lang w:val="en-US"/>
        </w:rPr>
      </w:pPr>
      <w:r w:rsidRPr="001C19E7">
        <w:rPr>
          <w:i/>
          <w:lang w:val="en-US"/>
        </w:rPr>
        <w:t xml:space="preserve">“1. </w:t>
      </w:r>
      <w:r w:rsidRPr="001C19E7">
        <w:rPr>
          <w:b/>
          <w:bCs/>
          <w:i/>
          <w:u w:val="single"/>
          <w:lang w:val="en-US"/>
        </w:rPr>
        <w:t>Challenges to Orders</w:t>
      </w:r>
      <w:r w:rsidRPr="001C19E7">
        <w:rPr>
          <w:i/>
          <w:lang w:val="en-US"/>
        </w:rPr>
        <w:t>. In the event Microsoft receives an order from any third party for compelled disclosure of any personal data processed under this DPA, Microsoft shall:</w:t>
      </w:r>
    </w:p>
    <w:p w14:paraId="0C097C52" w14:textId="77777777" w:rsidR="008C43FF" w:rsidRPr="001C19E7" w:rsidRDefault="008C43FF" w:rsidP="008C43FF">
      <w:pPr>
        <w:ind w:left="709"/>
        <w:rPr>
          <w:i/>
          <w:lang w:val="en-US"/>
        </w:rPr>
      </w:pPr>
    </w:p>
    <w:p w14:paraId="62F30A63" w14:textId="77777777" w:rsidR="008C43FF" w:rsidRPr="001C19E7" w:rsidRDefault="008C43FF" w:rsidP="00A556F1">
      <w:pPr>
        <w:pStyle w:val="Listeafsnit"/>
        <w:numPr>
          <w:ilvl w:val="0"/>
          <w:numId w:val="43"/>
        </w:numPr>
        <w:ind w:left="1701" w:hanging="283"/>
        <w:rPr>
          <w:i/>
          <w:lang w:val="en-US"/>
        </w:rPr>
      </w:pPr>
      <w:r w:rsidRPr="001C19E7">
        <w:rPr>
          <w:i/>
          <w:lang w:val="en-US"/>
        </w:rPr>
        <w:t xml:space="preserve">use every reasonable effort to redirect the third party to request data directly from Customer;  </w:t>
      </w:r>
    </w:p>
    <w:p w14:paraId="20E26570" w14:textId="77777777" w:rsidR="008C43FF" w:rsidRPr="001C19E7" w:rsidRDefault="008C43FF" w:rsidP="00A556F1">
      <w:pPr>
        <w:pStyle w:val="Listeafsnit"/>
        <w:numPr>
          <w:ilvl w:val="0"/>
          <w:numId w:val="43"/>
        </w:numPr>
        <w:ind w:left="1701" w:hanging="283"/>
        <w:rPr>
          <w:i/>
          <w:lang w:val="en-US"/>
        </w:rPr>
      </w:pPr>
      <w:r w:rsidRPr="001C19E7">
        <w:rPr>
          <w:i/>
          <w:lang w:val="en-US"/>
        </w:rPr>
        <w:t>promptly notify Customer, unless prohibited under the law applicable to the requesting third party, and, if prohibited from notifying Customer, use all lawful efforts to obtain the right to waive the prohibition in order to communicate as much information to Customer as soon as possible; and</w:t>
      </w:r>
    </w:p>
    <w:p w14:paraId="285A3BA0" w14:textId="77777777" w:rsidR="008C43FF" w:rsidRPr="001C19E7" w:rsidRDefault="008C43FF" w:rsidP="00A556F1">
      <w:pPr>
        <w:pStyle w:val="Listeafsnit"/>
        <w:numPr>
          <w:ilvl w:val="0"/>
          <w:numId w:val="43"/>
        </w:numPr>
        <w:ind w:left="1701" w:hanging="283"/>
        <w:rPr>
          <w:i/>
          <w:lang w:val="en-US"/>
        </w:rPr>
      </w:pPr>
      <w:r w:rsidRPr="001C19E7">
        <w:rPr>
          <w:i/>
          <w:lang w:val="en-US"/>
        </w:rPr>
        <w:lastRenderedPageBreak/>
        <w:t xml:space="preserve">use all lawful efforts to challenge the order for disclosure on the basis of any legal deficiencies under the laws of the requesting party or any relevant conflicts with applicable law of the European Union or applicable Member State law.  </w:t>
      </w:r>
    </w:p>
    <w:p w14:paraId="28AE3CF9" w14:textId="77777777" w:rsidR="008C43FF" w:rsidRPr="001C19E7" w:rsidRDefault="008C43FF" w:rsidP="008C43FF">
      <w:pPr>
        <w:ind w:left="1304"/>
        <w:rPr>
          <w:i/>
          <w:lang w:val="en-US"/>
        </w:rPr>
      </w:pPr>
    </w:p>
    <w:p w14:paraId="3F65D9C0" w14:textId="77777777" w:rsidR="008C43FF" w:rsidRPr="001C19E7" w:rsidRDefault="008C43FF" w:rsidP="00A556F1">
      <w:pPr>
        <w:ind w:left="1276"/>
        <w:rPr>
          <w:i/>
          <w:lang w:val="en-US"/>
        </w:rPr>
      </w:pPr>
      <w:r w:rsidRPr="001C19E7">
        <w:rPr>
          <w:i/>
          <w:lang w:val="en-US"/>
        </w:rPr>
        <w:t>If, after the steps described in a. through c. above, Microsoft or any of its affiliates remains compelled to disclose personal data, Microsoft will disclose only the minimum amount of that data necessary to satisfy the order for compelled disclosure.</w:t>
      </w:r>
    </w:p>
    <w:p w14:paraId="415F648E" w14:textId="77777777" w:rsidR="008C43FF" w:rsidRPr="001C19E7" w:rsidRDefault="008C43FF" w:rsidP="00A556F1">
      <w:pPr>
        <w:ind w:left="1276"/>
        <w:rPr>
          <w:i/>
          <w:lang w:val="en-US"/>
        </w:rPr>
      </w:pPr>
    </w:p>
    <w:p w14:paraId="357D747F" w14:textId="4710BF61" w:rsidR="008C43FF" w:rsidRPr="001C19E7" w:rsidRDefault="008C43FF" w:rsidP="00A556F1">
      <w:pPr>
        <w:ind w:left="1276"/>
        <w:rPr>
          <w:i/>
          <w:lang w:val="en-US"/>
        </w:rPr>
      </w:pPr>
      <w:r w:rsidRPr="001C19E7">
        <w:rPr>
          <w:i/>
          <w:lang w:val="en-US"/>
        </w:rPr>
        <w:t xml:space="preserve">For purpose of this section, lawful efforts do not include actions that would result in civil or criminal penalty such as contempt of court under the laws of the relevant jurisdiction.”  </w:t>
      </w:r>
    </w:p>
    <w:p w14:paraId="0942C0E3" w14:textId="77777777" w:rsidR="0036440D" w:rsidRPr="001C19E7" w:rsidRDefault="0036440D" w:rsidP="00A556F1">
      <w:pPr>
        <w:ind w:left="1276"/>
        <w:rPr>
          <w:iCs/>
          <w:lang w:val="en-US"/>
        </w:rPr>
      </w:pPr>
    </w:p>
    <w:p w14:paraId="7DDD9FF6" w14:textId="2051C72F" w:rsidR="0094184F" w:rsidRPr="00DC4F35" w:rsidRDefault="0094184F" w:rsidP="0094184F">
      <w:pPr>
        <w:pStyle w:val="Overskrift4"/>
      </w:pPr>
      <w:r w:rsidRPr="00DC4F35">
        <w:t>Vurdering af tilføjelse til standardvilkåret om udlevering af personoplysninger til tredjelandes myndigheder i henhold til tredjelands lov</w:t>
      </w:r>
    </w:p>
    <w:p w14:paraId="13BE14E2" w14:textId="019120D7" w:rsidR="00CE511E" w:rsidRPr="00DC4F35" w:rsidRDefault="00CE511E" w:rsidP="00CE511E">
      <w:r w:rsidRPr="00DC4F35">
        <w:t xml:space="preserve">Som nærmere gennemgået i afsnit </w:t>
      </w:r>
      <w:r w:rsidR="00E845CF" w:rsidRPr="00DC4F35">
        <w:t>3.1.2.</w:t>
      </w:r>
      <w:r w:rsidR="00AB3BAC" w:rsidRPr="00DC4F35">
        <w:t>1</w:t>
      </w:r>
      <w:r w:rsidRPr="00DC4F35">
        <w:t xml:space="preserve"> ovenfor, følger det af Microsoft Irelands standardvilkår om udlevering af personoplysninger til tredjelandes myndigheder i henhold til tredjelands lov, at Microsoft </w:t>
      </w:r>
      <w:r w:rsidR="00D30A85" w:rsidRPr="00DC4F35">
        <w:t xml:space="preserve">Ireland </w:t>
      </w:r>
      <w:r w:rsidRPr="00DC4F35">
        <w:t>vil udlevere (”</w:t>
      </w:r>
      <w:proofErr w:type="spellStart"/>
      <w:r w:rsidRPr="00DC4F35">
        <w:t>disclose</w:t>
      </w:r>
      <w:proofErr w:type="spellEnd"/>
      <w:r w:rsidRPr="00DC4F35">
        <w:t xml:space="preserve">” / ”provide </w:t>
      </w:r>
      <w:proofErr w:type="spellStart"/>
      <w:r w:rsidRPr="00DC4F35">
        <w:t>access</w:t>
      </w:r>
      <w:proofErr w:type="spellEnd"/>
      <w:r w:rsidRPr="00DC4F35">
        <w:t xml:space="preserve"> to”) de behandlede personoplysninger, herunder til retshåndhævende myndigheder (”</w:t>
      </w:r>
      <w:proofErr w:type="spellStart"/>
      <w:r w:rsidRPr="00DC4F35">
        <w:t>law</w:t>
      </w:r>
      <w:proofErr w:type="spellEnd"/>
      <w:r w:rsidRPr="00DC4F35">
        <w:t xml:space="preserve"> </w:t>
      </w:r>
      <w:proofErr w:type="spellStart"/>
      <w:r w:rsidRPr="00DC4F35">
        <w:t>enforcement</w:t>
      </w:r>
      <w:proofErr w:type="spellEnd"/>
      <w:r w:rsidRPr="00DC4F35">
        <w:t>”), når dette bl.a. er påkrævet i henhold til lov (”</w:t>
      </w:r>
      <w:proofErr w:type="spellStart"/>
      <w:r w:rsidRPr="00DC4F35">
        <w:t>required</w:t>
      </w:r>
      <w:proofErr w:type="spellEnd"/>
      <w:r w:rsidRPr="00DC4F35">
        <w:t xml:space="preserve"> by </w:t>
      </w:r>
      <w:proofErr w:type="spellStart"/>
      <w:r w:rsidRPr="00DC4F35">
        <w:t>law</w:t>
      </w:r>
      <w:proofErr w:type="spellEnd"/>
      <w:r w:rsidRPr="00DC4F35">
        <w:t>”).</w:t>
      </w:r>
      <w:r w:rsidR="00D30A85" w:rsidRPr="00DC4F35">
        <w:t xml:space="preserve"> Dette omfatter også tilfælde, hvor personoplysninger opbevares og behandles i EU i henhold til EU Data </w:t>
      </w:r>
      <w:proofErr w:type="spellStart"/>
      <w:r w:rsidR="00D30A85" w:rsidRPr="00DC4F35">
        <w:t>Boundary</w:t>
      </w:r>
      <w:proofErr w:type="spellEnd"/>
      <w:r w:rsidR="00D30A85" w:rsidRPr="00DC4F35">
        <w:t>.</w:t>
      </w:r>
    </w:p>
    <w:p w14:paraId="7E33DA12" w14:textId="77777777" w:rsidR="00CE511E" w:rsidRPr="00DC4F35" w:rsidRDefault="00CE511E" w:rsidP="00CE511E"/>
    <w:p w14:paraId="2641D8AE" w14:textId="53E463D0" w:rsidR="00CE511E" w:rsidRPr="00DC4F35" w:rsidRDefault="00CE511E" w:rsidP="00CE511E">
      <w:r w:rsidRPr="00DC4F35">
        <w:t xml:space="preserve">Dette standardvilkår medfører med andre ord, at </w:t>
      </w:r>
      <w:r w:rsidR="00AF7529" w:rsidRPr="00DC4F35">
        <w:t xml:space="preserve">De Dataansvarlige </w:t>
      </w:r>
      <w:r w:rsidRPr="00DC4F35">
        <w:t>instruerer Microsoft Ireland i at overføre personoplysninger til tredjelandes myndigheder i det omfang, det er nødvendigt for at overholde lovgivningen i tredjelandet. Instruksen ses ikke at være afgrænset i forhold til, hvilke landes, herunder tredjelandes, lovgivning eller bindende afgørelser, der kan være tale om.</w:t>
      </w:r>
    </w:p>
    <w:p w14:paraId="472253AB" w14:textId="77777777" w:rsidR="00CE511E" w:rsidRPr="00DC4F35" w:rsidRDefault="00CE511E" w:rsidP="00CE511E"/>
    <w:p w14:paraId="0AF09367" w14:textId="23595952" w:rsidR="00CE511E" w:rsidRPr="00DC4F35" w:rsidRDefault="00CE511E" w:rsidP="00CE511E">
      <w:r w:rsidRPr="00DC4F35">
        <w:t xml:space="preserve">På denne baggrund skal standardaftalevilkåret forstås således, at </w:t>
      </w:r>
      <w:r w:rsidR="00DA72BD" w:rsidRPr="00DC4F35">
        <w:t>De Dataansvarlige</w:t>
      </w:r>
      <w:r w:rsidRPr="00DC4F35">
        <w:t xml:space="preserve"> – ligesom tilfældet var i Datatilsynets udtalelse i </w:t>
      </w:r>
      <w:r w:rsidR="00EC73A8" w:rsidRPr="00DC4F35">
        <w:t>KOMBIT</w:t>
      </w:r>
      <w:r w:rsidRPr="00DC4F35">
        <w:t xml:space="preserve">-sagen – instruerer Microsoft Ireland i at foretage en </w:t>
      </w:r>
      <w:r w:rsidRPr="00DC4F35">
        <w:rPr>
          <w:i/>
          <w:iCs/>
        </w:rPr>
        <w:t>tilsigtet</w:t>
      </w:r>
      <w:r w:rsidRPr="00DC4F35">
        <w:t xml:space="preserve"> overførsel af personoplysninger til tredjelande. Dette betyder, at </w:t>
      </w:r>
      <w:r w:rsidR="00E31009" w:rsidRPr="00DC4F35">
        <w:t>De Dataansvarlige</w:t>
      </w:r>
      <w:r w:rsidRPr="00DC4F35">
        <w:t xml:space="preserve"> skal sikre sig, at reglerne om overførsler til tredjelande i databeskyttelsesforordningens kapitel V iagttages, hvis eller når Microsoft Ireland i henhold til instruksen foretager sådanne overførsler. Dette indebærer også, at kravene til fastsættelse af effektive supplerende foranstaltninger, herunder kryptering, i </w:t>
      </w:r>
      <w:proofErr w:type="spellStart"/>
      <w:r w:rsidRPr="00DC4F35">
        <w:t>EDPB’s</w:t>
      </w:r>
      <w:proofErr w:type="spellEnd"/>
      <w:r w:rsidRPr="00DC4F35">
        <w:t xml:space="preserve"> retningslinjer om supplerende foranstaltninger gælder.</w:t>
      </w:r>
    </w:p>
    <w:p w14:paraId="4A538672" w14:textId="77777777" w:rsidR="00CE511E" w:rsidRPr="00DC4F35" w:rsidRDefault="00CE511E" w:rsidP="00CE511E"/>
    <w:p w14:paraId="0159ADD1" w14:textId="77777777" w:rsidR="00CE511E" w:rsidRPr="00DC4F35" w:rsidRDefault="00CE511E" w:rsidP="00CE511E">
      <w:pPr>
        <w:rPr>
          <w:iCs/>
        </w:rPr>
      </w:pPr>
      <w:r w:rsidRPr="00DC4F35">
        <w:rPr>
          <w:iCs/>
        </w:rPr>
        <w:t xml:space="preserve">Det bemærkes i den sammenhæng, at det af artikel 48 følger, at en dom </w:t>
      </w:r>
      <w:r w:rsidRPr="00DC4F35">
        <w:t>afsagt af en domstol eller ret og enhver afgørelse truffet af en administrativ myndighed i et tredjeland</w:t>
      </w:r>
      <w:r w:rsidRPr="00DC4F35">
        <w:rPr>
          <w:iCs/>
        </w:rPr>
        <w:t xml:space="preserve"> ikke i sig selv udgør et hjemmelsgrundlag for overførsel.</w:t>
      </w:r>
    </w:p>
    <w:p w14:paraId="686DDBB4" w14:textId="77777777" w:rsidR="00CE511E" w:rsidRPr="00DC4F35" w:rsidRDefault="00CE511E" w:rsidP="00CE511E"/>
    <w:p w14:paraId="59926BBF" w14:textId="05B54274" w:rsidR="00CE511E" w:rsidRPr="00DC4F35" w:rsidRDefault="00CE511E" w:rsidP="00CE511E">
      <w:r w:rsidRPr="00DC4F35">
        <w:lastRenderedPageBreak/>
        <w:t>Spørgsmålet er herefter, hvilken databeskyttelsesretlig betydning den omhandlede tilføjelse til standardvilkåret har</w:t>
      </w:r>
      <w:r w:rsidR="00AB3BAC" w:rsidRPr="00DC4F35">
        <w:t>, som er gennemgået ovenfor i</w:t>
      </w:r>
      <w:r w:rsidRPr="00DC4F35">
        <w:t xml:space="preserve"> </w:t>
      </w:r>
      <w:r w:rsidR="00AB3BAC" w:rsidRPr="00DC4F35">
        <w:t>afsnit 3.1.2.2.</w:t>
      </w:r>
    </w:p>
    <w:p w14:paraId="613C5E25" w14:textId="77777777" w:rsidR="00CE511E" w:rsidRPr="00DC4F35" w:rsidRDefault="00CE511E" w:rsidP="00CE511E"/>
    <w:p w14:paraId="63F49086" w14:textId="6990C1DF" w:rsidR="00CE511E" w:rsidRPr="00DC4F35" w:rsidRDefault="00A94FBE" w:rsidP="00CE511E">
      <w:pPr>
        <w:rPr>
          <w:iCs/>
        </w:rPr>
      </w:pPr>
      <w:r w:rsidRPr="00DC4F35">
        <w:rPr>
          <w:iCs/>
        </w:rPr>
        <w:t>Tilføjelsen</w:t>
      </w:r>
      <w:r w:rsidR="00CE511E" w:rsidRPr="00DC4F35">
        <w:rPr>
          <w:iCs/>
        </w:rPr>
        <w:t xml:space="preserve"> til standardvilkåret angiver, at Microsoft Ireland i alle tilfælde uden undtagelse vil overholde EU-retten, hvis Microsoft Ireland modtager en juridisk anmodning om udlevering af data, herunder personoplysninger, fra et tredjelands myndighed i henhold til tredjelands lov. I tilføjelsen anvendes samme definition ”</w:t>
      </w:r>
      <w:proofErr w:type="spellStart"/>
      <w:r w:rsidR="00CE511E" w:rsidRPr="00DC4F35">
        <w:rPr>
          <w:iCs/>
        </w:rPr>
        <w:t>Processed</w:t>
      </w:r>
      <w:proofErr w:type="spellEnd"/>
      <w:r w:rsidR="00CE511E" w:rsidRPr="00DC4F35">
        <w:rPr>
          <w:iCs/>
        </w:rPr>
        <w:t xml:space="preserve"> Data”, som anvendes i Microsoft</w:t>
      </w:r>
      <w:r w:rsidR="00711E3B" w:rsidRPr="00DC4F35">
        <w:rPr>
          <w:iCs/>
        </w:rPr>
        <w:t xml:space="preserve"> Irelands</w:t>
      </w:r>
      <w:r w:rsidR="00CE511E" w:rsidRPr="00DC4F35">
        <w:rPr>
          <w:iCs/>
        </w:rPr>
        <w:t xml:space="preserve"> databehandleraftale, som omfatter alle typer af data, som Microsoft Ireland behandler, herunder personoplysninger.</w:t>
      </w:r>
    </w:p>
    <w:p w14:paraId="385951C7" w14:textId="77777777" w:rsidR="00CE511E" w:rsidRPr="00DC4F35" w:rsidRDefault="00CE511E" w:rsidP="00CE511E">
      <w:pPr>
        <w:rPr>
          <w:iCs/>
        </w:rPr>
      </w:pPr>
    </w:p>
    <w:p w14:paraId="55A304C0" w14:textId="11B7CE65" w:rsidR="00CE511E" w:rsidRPr="00DC4F35" w:rsidRDefault="00CE511E" w:rsidP="00CE511E">
      <w:pPr>
        <w:rPr>
          <w:iCs/>
        </w:rPr>
      </w:pPr>
      <w:r w:rsidRPr="00DC4F35">
        <w:rPr>
          <w:iCs/>
        </w:rPr>
        <w:t xml:space="preserve">Tilføjelsen erstatter ikke det eksisterende standardvilkår, </w:t>
      </w:r>
      <w:r w:rsidR="00EF68FF" w:rsidRPr="00DC4F35">
        <w:rPr>
          <w:iCs/>
        </w:rPr>
        <w:t>men</w:t>
      </w:r>
      <w:r w:rsidRPr="00DC4F35">
        <w:rPr>
          <w:iCs/>
        </w:rPr>
        <w:t xml:space="preserve"> </w:t>
      </w:r>
      <w:r w:rsidR="00EF68FF" w:rsidRPr="00DC4F35">
        <w:rPr>
          <w:iCs/>
        </w:rPr>
        <w:t>d</w:t>
      </w:r>
      <w:r w:rsidRPr="00DC4F35">
        <w:rPr>
          <w:iCs/>
        </w:rPr>
        <w:t>et må forstås sådan, at det er hensigten at beholde standardvilkåret som en del af databehandleraftalen, dog således at tilføjelsen i overensstemmelse med almindelige principper for kontraktfortolkning modificerer standardvilkåret og har forrang for dette. Tilføjelsen gælder i øvrigt kun for udleveringsanmodninger fra et tredjelands myndighed og ikke andre tredjemænd.</w:t>
      </w:r>
    </w:p>
    <w:p w14:paraId="69FA2233" w14:textId="77777777" w:rsidR="00CE511E" w:rsidRPr="00DC4F35" w:rsidRDefault="00CE511E" w:rsidP="00CE511E">
      <w:pPr>
        <w:rPr>
          <w:iCs/>
        </w:rPr>
      </w:pPr>
    </w:p>
    <w:p w14:paraId="3BFEE04F" w14:textId="35ACBC6A" w:rsidR="00CE511E" w:rsidRPr="00DC4F35" w:rsidRDefault="00CE511E" w:rsidP="00CE511E">
      <w:pPr>
        <w:rPr>
          <w:iCs/>
        </w:rPr>
      </w:pPr>
      <w:r w:rsidRPr="00DC4F35">
        <w:rPr>
          <w:iCs/>
        </w:rPr>
        <w:t xml:space="preserve">Tilføjelsen anfører, at Microsoft Ireland vil overholde EU-retten i tilfælde af, at Microsoft Ireland måtte blive mødt med en udleveringsanmodning fra en myndighed fra et tredjeland. Det må forstås sådan, at i tilfælde af, at en tredjepart i henhold til et tredjelands lov anmoder om at få udleveret </w:t>
      </w:r>
      <w:r w:rsidR="00B57D29" w:rsidRPr="00DC4F35">
        <w:rPr>
          <w:iCs/>
        </w:rPr>
        <w:t>De Dataansvarliges</w:t>
      </w:r>
      <w:r w:rsidRPr="00DC4F35">
        <w:rPr>
          <w:iCs/>
        </w:rPr>
        <w:t xml:space="preserve"> data, og at denne udlevering samtidig vil være i strid med EU-retten, så vil Microsoft Ireland ikke udlevere de pågældende oplysninger. Det betyder også, at hvis en udlevering er i overensstemmelse med EU-retten, så vil Microsoft Ireland udlevere data, herunder personoplysningerne, i henhold til standardvilkåret. </w:t>
      </w:r>
    </w:p>
    <w:p w14:paraId="3BF0121D" w14:textId="77777777" w:rsidR="00CE511E" w:rsidRPr="00DC4F35" w:rsidRDefault="00CE511E" w:rsidP="00CE511E">
      <w:pPr>
        <w:rPr>
          <w:iCs/>
        </w:rPr>
      </w:pPr>
    </w:p>
    <w:p w14:paraId="03F3AD18" w14:textId="77777777" w:rsidR="00CE511E" w:rsidRPr="00DC4F35" w:rsidRDefault="00CE511E" w:rsidP="00CE511E">
      <w:pPr>
        <w:rPr>
          <w:iCs/>
        </w:rPr>
      </w:pPr>
      <w:r w:rsidRPr="00DC4F35">
        <w:rPr>
          <w:iCs/>
        </w:rPr>
        <w:t xml:space="preserve">Samlet er det således vores opfattelse, at tilføjelsen kan betragtes som en afgrænsning og præcisering af, at Microsoft Ireland i alle tilfælde af udleveringsanmodninger om data, herunder personoplysninger, fra tredjelandes myndigheder </w:t>
      </w:r>
      <w:r w:rsidRPr="00DC4F35">
        <w:t>i henhold til tredjelands lov</w:t>
      </w:r>
      <w:r w:rsidRPr="00DC4F35">
        <w:rPr>
          <w:iCs/>
        </w:rPr>
        <w:t xml:space="preserve"> kun vil udlevere disse data og personoplysninger, såfremt det er i overensstemmelse med EU-ret. </w:t>
      </w:r>
    </w:p>
    <w:p w14:paraId="36441AEE" w14:textId="77777777" w:rsidR="00CE511E" w:rsidRPr="00DC4F35" w:rsidRDefault="00CE511E" w:rsidP="00CE511E">
      <w:pPr>
        <w:rPr>
          <w:iCs/>
        </w:rPr>
      </w:pPr>
    </w:p>
    <w:p w14:paraId="6DC9F28D" w14:textId="77777777" w:rsidR="00CE511E" w:rsidRPr="00DC4F35" w:rsidRDefault="00CE511E" w:rsidP="00CE511E">
      <w:pPr>
        <w:rPr>
          <w:iCs/>
        </w:rPr>
      </w:pPr>
      <w:r w:rsidRPr="00DC4F35">
        <w:rPr>
          <w:iCs/>
        </w:rPr>
        <w:t>Et sådant vilkår synes at være i overensstemmelse med databeskyttelsesforordningens artikel 28, stk. 3, litra a, og artikel 29. Det vil således være i overensstemmelse med EU-retten at overføre personoplysninger til en modtager i et tredjeland, hvis</w:t>
      </w:r>
      <w:r w:rsidRPr="00DC4F35">
        <w:t xml:space="preserve"> det kræves i henhold til EU-ret eller medlemsstaternes nationale ret.</w:t>
      </w:r>
    </w:p>
    <w:p w14:paraId="776B001C" w14:textId="77777777" w:rsidR="00CE511E" w:rsidRPr="00DC4F35" w:rsidRDefault="00CE511E" w:rsidP="00CE511E">
      <w:pPr>
        <w:rPr>
          <w:iCs/>
        </w:rPr>
      </w:pPr>
    </w:p>
    <w:p w14:paraId="5EF019CC" w14:textId="524678B3" w:rsidR="00CE511E" w:rsidRPr="00DC4F35" w:rsidRDefault="00CE511E" w:rsidP="00CE511E">
      <w:pPr>
        <w:rPr>
          <w:iCs/>
        </w:rPr>
      </w:pPr>
      <w:r w:rsidRPr="00DC4F35">
        <w:rPr>
          <w:iCs/>
        </w:rPr>
        <w:t xml:space="preserve">Datatilsynet ses ikke i tilsynets praksis at have forholdt sig til lignende tilfælde, hvor en i EU etableret </w:t>
      </w:r>
      <w:proofErr w:type="spellStart"/>
      <w:r w:rsidRPr="00DC4F35">
        <w:rPr>
          <w:iCs/>
        </w:rPr>
        <w:t>databehandlers</w:t>
      </w:r>
      <w:proofErr w:type="spellEnd"/>
      <w:r w:rsidRPr="00DC4F35">
        <w:rPr>
          <w:iCs/>
        </w:rPr>
        <w:t xml:space="preserve"> standardvilkår om udlevering af personoplysninger til tredjelandes myndigheder i henhold til tredjelands lov søges afgrænset med et aftaletillæg, hvorefter EU-retten under alle omstændigheder skal overholdes ved en udleveringsanmodning. Dog lægger Datatilsynet i KOMBIT-udtalelsen vægt på at </w:t>
      </w:r>
      <w:r w:rsidRPr="00DC4F35">
        <w:rPr>
          <w:i/>
        </w:rPr>
        <w:t>”[i]</w:t>
      </w:r>
      <w:proofErr w:type="spellStart"/>
      <w:r w:rsidRPr="00DC4F35">
        <w:rPr>
          <w:i/>
        </w:rPr>
        <w:t>nstruksen</w:t>
      </w:r>
      <w:proofErr w:type="spellEnd"/>
      <w:r w:rsidRPr="00DC4F35">
        <w:rPr>
          <w:i/>
        </w:rPr>
        <w:t xml:space="preserve"> ses ikke at være afgrænset i forhold til hvilke landes, herunder tredjelandes, lovgivning </w:t>
      </w:r>
      <w:r w:rsidRPr="00DC4F35">
        <w:rPr>
          <w:i/>
        </w:rPr>
        <w:lastRenderedPageBreak/>
        <w:t>eller bindende afgørelser, der kan være tale om.”</w:t>
      </w:r>
      <w:r w:rsidRPr="00DC4F35">
        <w:rPr>
          <w:iCs/>
        </w:rPr>
        <w:t xml:space="preserve"> Det indikerer, at en sådan instruks efter Datatilsynets opfattelse netop med fordel kan afgrænses til kun at vedrøre EU-ret eller </w:t>
      </w:r>
      <w:r w:rsidRPr="00DC4F35">
        <w:t>medlemsstaternes nationale ret</w:t>
      </w:r>
      <w:r w:rsidRPr="00DC4F35">
        <w:rPr>
          <w:iCs/>
        </w:rPr>
        <w:t xml:space="preserve">. </w:t>
      </w:r>
    </w:p>
    <w:p w14:paraId="0A3A1D75" w14:textId="77777777" w:rsidR="00852970" w:rsidRPr="00DC4F35" w:rsidRDefault="00852970" w:rsidP="00CE511E">
      <w:pPr>
        <w:rPr>
          <w:iCs/>
        </w:rPr>
      </w:pPr>
    </w:p>
    <w:p w14:paraId="7F31062A" w14:textId="77777777" w:rsidR="00852970" w:rsidRPr="00DC4F35" w:rsidRDefault="00852970" w:rsidP="00852970">
      <w:r w:rsidRPr="00DC4F35">
        <w:t xml:space="preserve">Fra Datatilsynets praksis kan der endvidere henvises til tilsynets afgørelse af 17. november 2021 i en </w:t>
      </w:r>
      <w:proofErr w:type="spellStart"/>
      <w:r w:rsidRPr="00DC4F35">
        <w:t>egendriftssag</w:t>
      </w:r>
      <w:proofErr w:type="spellEnd"/>
      <w:r w:rsidRPr="00DC4F35">
        <w:t xml:space="preserve"> vedrørende Næstved kommunes behandling af oplysninger om hjemmesidebesøgende (j.nr. 2020-432-0047). Datatilsynet lagde ved afgørelsen til grund, at der ikke skete en overførsel af oplysninger til lande uden for EU. Datatilsynet anførte herom bl.a. følgende: </w:t>
      </w:r>
    </w:p>
    <w:p w14:paraId="16C66CCD" w14:textId="77777777" w:rsidR="00852970" w:rsidRPr="00DC4F35" w:rsidRDefault="00852970" w:rsidP="00852970">
      <w:pPr>
        <w:rPr>
          <w:i/>
          <w:iCs/>
        </w:rPr>
      </w:pPr>
    </w:p>
    <w:p w14:paraId="5548AB8B" w14:textId="77777777" w:rsidR="00852970" w:rsidRPr="00DC4F35" w:rsidRDefault="00852970" w:rsidP="00852970">
      <w:pPr>
        <w:ind w:left="1304"/>
        <w:rPr>
          <w:i/>
          <w:iCs/>
        </w:rPr>
      </w:pPr>
      <w:r w:rsidRPr="00DC4F35">
        <w:rPr>
          <w:i/>
          <w:iCs/>
        </w:rPr>
        <w:t xml:space="preserve">”Næstved Kommune har i kommunens udtalelse af 9. marts 2021 oplyst, at de personoplysninger, som Næstved Kommune behandler ved benyttelse af analyseværktøjet </w:t>
      </w:r>
      <w:proofErr w:type="spellStart"/>
      <w:r w:rsidRPr="00DC4F35">
        <w:rPr>
          <w:i/>
          <w:iCs/>
        </w:rPr>
        <w:t>Siteimprove</w:t>
      </w:r>
      <w:proofErr w:type="spellEnd"/>
      <w:r w:rsidRPr="00DC4F35">
        <w:rPr>
          <w:i/>
          <w:iCs/>
        </w:rPr>
        <w:t xml:space="preserve"> Analytics, ikke videregives til tredjepart. </w:t>
      </w:r>
      <w:proofErr w:type="spellStart"/>
      <w:r w:rsidRPr="00DC4F35">
        <w:rPr>
          <w:i/>
          <w:iCs/>
        </w:rPr>
        <w:t>Siteimprove</w:t>
      </w:r>
      <w:proofErr w:type="spellEnd"/>
      <w:r w:rsidRPr="00DC4F35">
        <w:rPr>
          <w:i/>
          <w:iCs/>
        </w:rPr>
        <w:t xml:space="preserve"> Analytics indgår i en databehandleraftale med Næstved Kommune, og er som følge heraf forpligtet til udelukkende at behandle personoplysninger efter dokumenteret instruks fra kommunen. Kommunen har endvidere i sin udtalelse af 12. oktober 2021 oplyst, at kommunen har indhentet en uddybende redegørelse fra </w:t>
      </w:r>
      <w:proofErr w:type="spellStart"/>
      <w:r w:rsidRPr="00DC4F35">
        <w:rPr>
          <w:i/>
          <w:iCs/>
        </w:rPr>
        <w:t>Siteimprove</w:t>
      </w:r>
      <w:proofErr w:type="spellEnd"/>
      <w:r w:rsidRPr="00DC4F35">
        <w:rPr>
          <w:i/>
          <w:iCs/>
        </w:rPr>
        <w:t xml:space="preserve"> for, hvordan der behandles personoplysninger i forbindelse med løsningen af opgaver for kommunen.</w:t>
      </w:r>
    </w:p>
    <w:p w14:paraId="5FE9E0BD" w14:textId="77777777" w:rsidR="00852970" w:rsidRPr="00DC4F35" w:rsidRDefault="00852970" w:rsidP="00852970">
      <w:pPr>
        <w:rPr>
          <w:i/>
          <w:iCs/>
        </w:rPr>
      </w:pPr>
    </w:p>
    <w:p w14:paraId="2A5FAC6C" w14:textId="77777777" w:rsidR="00852970" w:rsidRPr="00DC4F35" w:rsidRDefault="00852970" w:rsidP="00852970">
      <w:pPr>
        <w:ind w:left="1304"/>
        <w:rPr>
          <w:i/>
          <w:iCs/>
        </w:rPr>
      </w:pPr>
      <w:r w:rsidRPr="00DC4F35">
        <w:rPr>
          <w:i/>
          <w:iCs/>
        </w:rPr>
        <w:t xml:space="preserve">Næstved Kommune har i den forbindelse suppleret med, at Amazon Web Service (AWS) Frankfurt er underdatabehandler for </w:t>
      </w:r>
      <w:proofErr w:type="spellStart"/>
      <w:r w:rsidRPr="00DC4F35">
        <w:rPr>
          <w:i/>
          <w:iCs/>
        </w:rPr>
        <w:t>Siteimprove</w:t>
      </w:r>
      <w:proofErr w:type="spellEnd"/>
      <w:r w:rsidRPr="00DC4F35">
        <w:rPr>
          <w:i/>
          <w:iCs/>
        </w:rPr>
        <w:t xml:space="preserve">, hvilket også fremgår af databehandleraftalen mellem Næstved Kommune og </w:t>
      </w:r>
      <w:proofErr w:type="spellStart"/>
      <w:r w:rsidRPr="00DC4F35">
        <w:rPr>
          <w:i/>
          <w:iCs/>
        </w:rPr>
        <w:t>Siteimprove</w:t>
      </w:r>
      <w:proofErr w:type="spellEnd"/>
      <w:r w:rsidRPr="00DC4F35">
        <w:rPr>
          <w:i/>
          <w:iCs/>
        </w:rPr>
        <w:t>. Aftalen sikrer, at personoplysninger alene opbevares i EU. AWS Frankfurt har i den forbindelse i aftalerne og offentligt givet garantier for, at denne begrænsning opretholdes, og at der ikke sker overførsel til lande uden for EU – herunder USA. Det er Næstved Kommunes opfattelse, at der ikke er en reel risiko for, at der sker overførsel af oplysninger til USA i strid med disse garantier i forbindelse med online support eller lignende."</w:t>
      </w:r>
    </w:p>
    <w:p w14:paraId="33666515" w14:textId="77777777" w:rsidR="00852970" w:rsidRPr="00DC4F35" w:rsidRDefault="00852970" w:rsidP="00852970">
      <w:pPr>
        <w:rPr>
          <w:i/>
          <w:iCs/>
          <w:highlight w:val="yellow"/>
        </w:rPr>
      </w:pPr>
    </w:p>
    <w:p w14:paraId="7A4092CB" w14:textId="77777777" w:rsidR="00852970" w:rsidRPr="00DC4F35" w:rsidRDefault="00852970" w:rsidP="00852970">
      <w:r w:rsidRPr="00DC4F35">
        <w:t xml:space="preserve">På denne baggrund anførte Datatilsynet følgende vedrørende spørgsmålet om overførsler af personoplysninger til tredjelande: </w:t>
      </w:r>
    </w:p>
    <w:p w14:paraId="1A4C707B" w14:textId="77777777" w:rsidR="00852970" w:rsidRPr="00DC4F35" w:rsidRDefault="00852970" w:rsidP="00852970">
      <w:pPr>
        <w:rPr>
          <w:i/>
          <w:iCs/>
          <w:highlight w:val="yellow"/>
        </w:rPr>
      </w:pPr>
    </w:p>
    <w:p w14:paraId="0183E68B" w14:textId="77777777" w:rsidR="00852970" w:rsidRPr="00DC4F35" w:rsidRDefault="00852970" w:rsidP="00852970">
      <w:pPr>
        <w:ind w:left="1304"/>
        <w:rPr>
          <w:i/>
          <w:iCs/>
        </w:rPr>
      </w:pPr>
      <w:r w:rsidRPr="00DC4F35">
        <w:rPr>
          <w:i/>
          <w:iCs/>
        </w:rPr>
        <w:t xml:space="preserve">"Endelig har Datatilsynet lagt vægt på, at AWS, der benyttes som underdatabehandler til behandlingen af personoplysninger til statistiske formål, ved aftale og offentligt har givet garanti for, at der ikke sker overførsel af oplysninger til lande uden for EU, og at behandlingen derfor sker under </w:t>
      </w:r>
      <w:proofErr w:type="spellStart"/>
      <w:r w:rsidRPr="00DC4F35">
        <w:rPr>
          <w:i/>
          <w:iCs/>
        </w:rPr>
        <w:t>Siteimproves</w:t>
      </w:r>
      <w:proofErr w:type="spellEnd"/>
      <w:r w:rsidRPr="00DC4F35">
        <w:rPr>
          <w:i/>
          <w:iCs/>
        </w:rPr>
        <w:t xml:space="preserve"> kontrollerede rammer."</w:t>
      </w:r>
    </w:p>
    <w:p w14:paraId="04E27862" w14:textId="77777777" w:rsidR="00852970" w:rsidRPr="00DC4F35" w:rsidRDefault="00852970" w:rsidP="00CE511E">
      <w:pPr>
        <w:rPr>
          <w:iCs/>
        </w:rPr>
      </w:pPr>
    </w:p>
    <w:p w14:paraId="61082DFB" w14:textId="1BCB3B9A" w:rsidR="00CE511E" w:rsidRPr="00DC4F35" w:rsidRDefault="00CE511E" w:rsidP="00CE511E">
      <w:pPr>
        <w:rPr>
          <w:iCs/>
          <w:highlight w:val="yellow"/>
        </w:rPr>
      </w:pPr>
      <w:r w:rsidRPr="00DC4F35">
        <w:rPr>
          <w:iCs/>
        </w:rPr>
        <w:t xml:space="preserve">Datatilsynet har både i tilsynets cloudvejledning og vejledningen om overførsler til tredjelande forholdt sig til situationer med behandlinger af personoplysninger, der foretages inden for EU/EØS af selskaber, </w:t>
      </w:r>
      <w:r w:rsidRPr="00DC4F35">
        <w:rPr>
          <w:iCs/>
        </w:rPr>
        <w:lastRenderedPageBreak/>
        <w:t>der kan blive mødt med anmodninger fra myndigheder i tredjelande om udlevering af personoplysningerne i henhold til tredjelands lov. Her anføres det, at h</w:t>
      </w:r>
      <w:r w:rsidRPr="00DC4F35">
        <w:t xml:space="preserve">vis databehandleren vælger at overføre personoplysninger til tredjelandet i strid med databehandleraftalen, vil der være tale om en </w:t>
      </w:r>
      <w:r w:rsidRPr="00DC4F35">
        <w:rPr>
          <w:i/>
          <w:iCs/>
        </w:rPr>
        <w:t>utilsigtet</w:t>
      </w:r>
      <w:r w:rsidRPr="00DC4F35">
        <w:t xml:space="preserve"> overførsel, og det betyder, at databeskyttelsesforordningens regler om overførsel til tredjelande ikke finder anvendelse i forhold til den dataansvarlige. Den dataansvarlige vil dog bl.a. skulle sikre den nødvendige behandlingssikkerhed</w:t>
      </w:r>
      <w:r w:rsidR="00731B94" w:rsidRPr="00DC4F35">
        <w:t>, jf. databeskyttelsesforordningens artikel 32</w:t>
      </w:r>
      <w:r w:rsidRPr="00DC4F35">
        <w:t xml:space="preserve">, herunder at databehandleren behandler personoplysningerne fortroligt og ikke gør dem tilgængelige for uvedkommende. Den dataansvarlige må i den forbindelse foretage en risikovurdering med henblik på at vurdere, hvilke tiltag der skal iværksættes for at sikre dette. Den dataansvarlige skal også føre tilsyn med sin databehandler, og hvis den dataansvarlige bliver bekendt med, at databehandleren handler i strid med databehandleraftalen ved at overføre personoplysninger til et tredjeland mod den dataansvarliges instruks, skal den dataansvarlige straks gribe ind over for dette. Der henvises til </w:t>
      </w:r>
      <w:r w:rsidRPr="00DC4F35">
        <w:rPr>
          <w:iCs/>
        </w:rPr>
        <w:t>eksemplerne i Datatilsynets cloud-vejledning</w:t>
      </w:r>
      <w:r w:rsidR="00717864" w:rsidRPr="00DC4F35">
        <w:rPr>
          <w:iCs/>
        </w:rPr>
        <w:t>,</w:t>
      </w:r>
      <w:r w:rsidR="00EC2DE3" w:rsidRPr="00DC4F35">
        <w:rPr>
          <w:iCs/>
        </w:rPr>
        <w:t xml:space="preserve"> marts 2022,</w:t>
      </w:r>
      <w:r w:rsidRPr="00DC4F35">
        <w:rPr>
          <w:iCs/>
        </w:rPr>
        <w:t xml:space="preserve"> side 29</w:t>
      </w:r>
      <w:r w:rsidR="00D86EE3" w:rsidRPr="00DC4F35">
        <w:rPr>
          <w:iCs/>
        </w:rPr>
        <w:t xml:space="preserve"> f. </w:t>
      </w:r>
      <w:r w:rsidR="0056431D" w:rsidRPr="00DC4F35">
        <w:rPr>
          <w:iCs/>
        </w:rPr>
        <w:t>(</w:t>
      </w:r>
      <w:r w:rsidR="00D86EE3" w:rsidRPr="00DC4F35">
        <w:rPr>
          <w:iCs/>
        </w:rPr>
        <w:t>eksempel 14</w:t>
      </w:r>
      <w:r w:rsidR="0056431D" w:rsidRPr="00DC4F35">
        <w:rPr>
          <w:iCs/>
        </w:rPr>
        <w:t>)</w:t>
      </w:r>
      <w:r w:rsidRPr="00DC4F35">
        <w:rPr>
          <w:iCs/>
        </w:rPr>
        <w:t xml:space="preserve"> </w:t>
      </w:r>
      <w:r w:rsidR="00622D6F" w:rsidRPr="00DC4F35">
        <w:rPr>
          <w:iCs/>
        </w:rPr>
        <w:t>samt</w:t>
      </w:r>
      <w:r w:rsidR="0001739B" w:rsidRPr="00DC4F35">
        <w:rPr>
          <w:iCs/>
        </w:rPr>
        <w:t xml:space="preserve"> tilsynets</w:t>
      </w:r>
      <w:r w:rsidRPr="00DC4F35">
        <w:rPr>
          <w:iCs/>
        </w:rPr>
        <w:t xml:space="preserve"> vejledning om tredjelandsoverførsler</w:t>
      </w:r>
      <w:r w:rsidR="00717864" w:rsidRPr="00DC4F35">
        <w:rPr>
          <w:iCs/>
        </w:rPr>
        <w:t>,</w:t>
      </w:r>
      <w:r w:rsidR="00EC2DE3" w:rsidRPr="00DC4F35">
        <w:rPr>
          <w:iCs/>
        </w:rPr>
        <w:t xml:space="preserve"> april 2024,</w:t>
      </w:r>
      <w:r w:rsidRPr="00DC4F35">
        <w:rPr>
          <w:iCs/>
        </w:rPr>
        <w:t xml:space="preserve"> side </w:t>
      </w:r>
      <w:r w:rsidR="00EC2DE3" w:rsidRPr="00DC4F35">
        <w:rPr>
          <w:iCs/>
        </w:rPr>
        <w:t>12</w:t>
      </w:r>
      <w:r w:rsidRPr="00DC4F35">
        <w:rPr>
          <w:iCs/>
        </w:rPr>
        <w:t xml:space="preserve"> (eksempel 10)</w:t>
      </w:r>
      <w:r w:rsidR="00D86EE3" w:rsidRPr="00DC4F35">
        <w:rPr>
          <w:iCs/>
        </w:rPr>
        <w:t>.</w:t>
      </w:r>
    </w:p>
    <w:p w14:paraId="11D8DEDD" w14:textId="77777777" w:rsidR="00CE511E" w:rsidRPr="00DC4F35" w:rsidRDefault="00CE511E" w:rsidP="00CE511E">
      <w:pPr>
        <w:rPr>
          <w:iCs/>
          <w:highlight w:val="yellow"/>
        </w:rPr>
      </w:pPr>
    </w:p>
    <w:p w14:paraId="47EA6E3F" w14:textId="348E2EF4" w:rsidR="00CE511E" w:rsidRPr="00DC4F35" w:rsidRDefault="00CE511E" w:rsidP="00CE511E">
      <w:pPr>
        <w:rPr>
          <w:i/>
          <w:iCs/>
        </w:rPr>
      </w:pPr>
      <w:r w:rsidRPr="00DC4F35">
        <w:rPr>
          <w:iCs/>
        </w:rPr>
        <w:t xml:space="preserve">I tråd hermed har Datatilsynet desuden på tilsynets hjemmeside under spørgsmål og svar om cloud anført, at </w:t>
      </w:r>
      <w:r w:rsidRPr="00DC4F35">
        <w:rPr>
          <w:i/>
        </w:rPr>
        <w:t xml:space="preserve">”[s]elv om en leverandør er omfattet af amerikansk lovgivning, der kan medføre udlevering af oplysninger (fx US CLOUD </w:t>
      </w:r>
      <w:proofErr w:type="spellStart"/>
      <w:r w:rsidRPr="00DC4F35">
        <w:rPr>
          <w:i/>
        </w:rPr>
        <w:t>Act</w:t>
      </w:r>
      <w:proofErr w:type="spellEnd"/>
      <w:r w:rsidRPr="00DC4F35">
        <w:rPr>
          <w:i/>
        </w:rPr>
        <w:t>), kan man – hvis det er aftalt, og man er betrygget i, at udbyderen vil overholde gældende EU-ret – godt benytte den pågældende leverandør.”</w:t>
      </w:r>
      <w:r w:rsidRPr="00DC4F35">
        <w:rPr>
          <w:iCs/>
        </w:rPr>
        <w:t xml:space="preserve"> Samme sted er der også et spørgsmål, om </w:t>
      </w:r>
      <w:r w:rsidRPr="00DC4F35">
        <w:rPr>
          <w:i/>
        </w:rPr>
        <w:t xml:space="preserve">”[k]an jeg </w:t>
      </w:r>
      <w:proofErr w:type="gramStart"/>
      <w:r w:rsidRPr="00DC4F35">
        <w:rPr>
          <w:i/>
        </w:rPr>
        <w:t>bruge</w:t>
      </w:r>
      <w:proofErr w:type="gramEnd"/>
      <w:r w:rsidRPr="00DC4F35">
        <w:rPr>
          <w:i/>
        </w:rPr>
        <w:t xml:space="preserve"> en amerikansk cloudleverandør i EU uden at vurdere risikoen ved en mulig overførsel til USA på baggrund anmodninger fx i henhold til US CLOUD </w:t>
      </w:r>
      <w:proofErr w:type="spellStart"/>
      <w:r w:rsidRPr="00DC4F35">
        <w:rPr>
          <w:i/>
        </w:rPr>
        <w:t>Act</w:t>
      </w:r>
      <w:proofErr w:type="spellEnd"/>
      <w:r w:rsidRPr="00DC4F35">
        <w:rPr>
          <w:i/>
        </w:rPr>
        <w:t xml:space="preserve">?” </w:t>
      </w:r>
      <w:r w:rsidRPr="00DC4F35">
        <w:rPr>
          <w:iCs/>
        </w:rPr>
        <w:t>Hvortil Datatilsynet svarer: ”</w:t>
      </w:r>
      <w:r w:rsidRPr="00DC4F35">
        <w:rPr>
          <w:i/>
          <w:iCs/>
        </w:rPr>
        <w:t>Nej. Du skal foretage en vurdering af risikoen for den registreredes rettigheder, og du skal være betrygget i, at leverandøren vil overholde gældende EU-ret, før du kan benytte en leverandør, der er omfattet af sådanne lovregler.”</w:t>
      </w:r>
      <w:r w:rsidR="008C7A49" w:rsidRPr="00DC4F35">
        <w:rPr>
          <w:rStyle w:val="Fodnotehenvisning"/>
        </w:rPr>
        <w:footnoteReference w:id="17"/>
      </w:r>
    </w:p>
    <w:p w14:paraId="49F43873" w14:textId="77777777" w:rsidR="006E2ED1" w:rsidRPr="00DC4F35" w:rsidRDefault="006E2ED1" w:rsidP="00CE511E">
      <w:pPr>
        <w:rPr>
          <w:i/>
          <w:iCs/>
        </w:rPr>
      </w:pPr>
    </w:p>
    <w:p w14:paraId="70FB7B68" w14:textId="6A47FB33" w:rsidR="006E2ED1" w:rsidRPr="00DC4F35" w:rsidRDefault="006E2ED1" w:rsidP="006E2ED1">
      <w:r w:rsidRPr="00DC4F35">
        <w:rPr>
          <w:lang w:eastAsia="da-DK"/>
        </w:rPr>
        <w:t xml:space="preserve">Der kan endvidere henvises til </w:t>
      </w:r>
      <w:proofErr w:type="spellStart"/>
      <w:r w:rsidRPr="00DC4F35">
        <w:rPr>
          <w:lang w:eastAsia="da-DK"/>
        </w:rPr>
        <w:t>EDPB’s</w:t>
      </w:r>
      <w:proofErr w:type="spellEnd"/>
      <w:r w:rsidRPr="00DC4F35">
        <w:rPr>
          <w:lang w:eastAsia="da-DK"/>
        </w:rPr>
        <w:t xml:space="preserve"> </w:t>
      </w:r>
      <w:r w:rsidRPr="00DC4F35">
        <w:t>retningslinjer om samspillet mellem anvendelsen af artikel 3 og bestemmelserne om internationale overførsler i henhold til kapitel V i GDPR, udgave 2.0, vedtaget 14. februar 2023. I eksempel 12 i retningslinjerne, står der således</w:t>
      </w:r>
      <w:r w:rsidR="008D3F19" w:rsidRPr="00DC4F35">
        <w:t xml:space="preserve"> følgende</w:t>
      </w:r>
      <w:r w:rsidRPr="00DC4F35">
        <w:t>:</w:t>
      </w:r>
    </w:p>
    <w:p w14:paraId="7ABA3DCA" w14:textId="77777777" w:rsidR="006E2ED1" w:rsidRPr="00DC4F35" w:rsidRDefault="006E2ED1" w:rsidP="006E2ED1"/>
    <w:p w14:paraId="55E155B5" w14:textId="4DEB7741" w:rsidR="006E2ED1" w:rsidRPr="00DC4F35" w:rsidRDefault="008D3F19" w:rsidP="006E2ED1">
      <w:pPr>
        <w:ind w:left="1304"/>
        <w:rPr>
          <w:i/>
          <w:iCs/>
          <w:u w:val="single"/>
        </w:rPr>
      </w:pPr>
      <w:r w:rsidRPr="00DC4F35">
        <w:rPr>
          <w:i/>
          <w:iCs/>
        </w:rPr>
        <w:t>”</w:t>
      </w:r>
      <w:r w:rsidR="006E2ED1" w:rsidRPr="00DC4F35">
        <w:rPr>
          <w:i/>
          <w:iCs/>
        </w:rPr>
        <w:t xml:space="preserve">Den danske virksomhed X, der fungerer som dataansvarlig, ansætter virksomhed Y, der er etableret i EU, som databehandler på dennes vegne. Virksomhed Y er et datterselskab af tredjelandsmoderselskabet Z. Virksomhed Y behandler udelukkende oplysninger om virksomhed X i EU, og der er ingen uden for EU, herunder moderselskabet Z, som har adgang til oplysningerne. Desuden følger det af kontrakten mellem virksomhed X og virksomhed Y, at virksomhed Y kun må behandle personoplysningerne efter dokumenteret instruks fra </w:t>
      </w:r>
      <w:r w:rsidR="006E2ED1" w:rsidRPr="00DC4F35">
        <w:rPr>
          <w:i/>
          <w:iCs/>
        </w:rPr>
        <w:lastRenderedPageBreak/>
        <w:t xml:space="preserve">virksomhed X, medmindre det kræves i henhold til EU-retten eller medlemsstatens nationale ret, som virksomhed Y er underlagt. Virksomhed Y er imidlertid underlagt et tredjelands lovgivning med ekstraterritorial virkning, hvilket i dette tilfælde betyder, at virksomhed Y kan modtage anmodninger om adgang fra myndigheder i dette tredjeland. […] Som nævnt er der dog en mulighed for, at virksomhed Y modtager anmodninger om adgang fra myndigheder i et tredjeland, og hvis virksomhed Y efterkommer en sådan anmodning, vil videregivelsen af oplysninger blive betragtet som en overførsel i henhold til kapitel V. Hvis virksomhed Y efterkommer en anmodning i strid med den dataansvarliges instrukser og dermed artikel 28 i GDPR, skal virksomhed Y betragtes som en selvstændig dataansvarlig for denne behandling i henhold til artikel 28, stk. 10, i GDPR. </w:t>
      </w:r>
      <w:r w:rsidR="006E2ED1" w:rsidRPr="00DC4F35">
        <w:rPr>
          <w:i/>
          <w:iCs/>
          <w:u w:val="single"/>
        </w:rPr>
        <w:t xml:space="preserve">I denne situation bør den dataansvarlige virksomhed X, inden den engagerer databehandleren, vurdere disse omstændigheder for at sikre, at den som krævet i artikel 28 i GDPR kun anvender </w:t>
      </w:r>
      <w:proofErr w:type="spellStart"/>
      <w:r w:rsidR="006E2ED1" w:rsidRPr="00DC4F35">
        <w:rPr>
          <w:i/>
          <w:iCs/>
          <w:u w:val="single"/>
        </w:rPr>
        <w:t>databehandlere</w:t>
      </w:r>
      <w:proofErr w:type="spellEnd"/>
      <w:r w:rsidR="006E2ED1" w:rsidRPr="00DC4F35">
        <w:rPr>
          <w:i/>
          <w:iCs/>
          <w:u w:val="single"/>
        </w:rPr>
        <w:t>, der giver tilstrækkelige garantier for at gennemføre passende tekniske og organisatoriske foranstaltninger, således at behandlingen er i overensstemmelse med GDPR, herunder kapitel V, samt for at sikre, at der foreligger en kontrakt eller et retligt dokument, der regulerer databehandlerens behandling.</w:t>
      </w:r>
      <w:r w:rsidRPr="00DC4F35">
        <w:rPr>
          <w:i/>
          <w:iCs/>
        </w:rPr>
        <w:t xml:space="preserve">” </w:t>
      </w:r>
      <w:r w:rsidRPr="00DC4F35">
        <w:t>(Vores understregning.)</w:t>
      </w:r>
    </w:p>
    <w:p w14:paraId="1128A502" w14:textId="77777777" w:rsidR="006E2ED1" w:rsidRPr="00DC4F35" w:rsidRDefault="006E2ED1" w:rsidP="00CE511E"/>
    <w:p w14:paraId="5BE603DD" w14:textId="11844778" w:rsidR="00CE511E" w:rsidRPr="00DC4F35" w:rsidRDefault="00CE511E" w:rsidP="00CE511E">
      <w:pPr>
        <w:rPr>
          <w:highlight w:val="yellow"/>
        </w:rPr>
      </w:pPr>
      <w:r w:rsidRPr="00DC4F35">
        <w:t xml:space="preserve">Disse vejledninger og udtalelser fra Datatilsynet </w:t>
      </w:r>
      <w:r w:rsidR="006A463E" w:rsidRPr="00DC4F35">
        <w:t xml:space="preserve">og EDPB </w:t>
      </w:r>
      <w:r w:rsidRPr="00DC4F35">
        <w:t xml:space="preserve">støtter også, at </w:t>
      </w:r>
      <w:r w:rsidR="00717864" w:rsidRPr="00DC4F35">
        <w:t>De Dataansvarlige</w:t>
      </w:r>
      <w:r w:rsidRPr="00DC4F35">
        <w:t xml:space="preserve"> i overensstemmelse med databeskyttelsesforordningens artikel 28, stk. 3, litra a, og artikel 29 vil kunne benytte Microsoft Ireland som databehandler, såfremt den omhandlede tilføjelse til standardvilkåret om, at Microsoft Ireland alene vil udlevere personoplysningerne, hvis det følger af EU-retten, indgås mellem parterne. </w:t>
      </w:r>
    </w:p>
    <w:p w14:paraId="222F20A9" w14:textId="77777777" w:rsidR="00CE511E" w:rsidRPr="00DC4F35" w:rsidRDefault="00CE511E" w:rsidP="00CE511E"/>
    <w:p w14:paraId="0504B20A" w14:textId="4E2BE901" w:rsidR="00CE511E" w:rsidRPr="00DC4F35" w:rsidRDefault="00CE511E" w:rsidP="00CE511E">
      <w:r w:rsidRPr="00DC4F35">
        <w:t xml:space="preserve">Dog skal </w:t>
      </w:r>
      <w:r w:rsidR="00926284" w:rsidRPr="00DC4F35">
        <w:t>De Dataansvarlige</w:t>
      </w:r>
      <w:r w:rsidRPr="00DC4F35">
        <w:t xml:space="preserve"> foretage en risikovurdering af de registreredes rettigheder samt en vurdering af, hvorvidt Microsoft Ireland vil overholde tilføjelsen til standardvilkåret, dvs. alene udlevere personoplysningerne i henhold til EU-retten. Dette omfatter også en vurdering af, hvilke tiltag der skal sikres for at opnå den nødvendige behandlingssikkerhed, herunder at Microsoft Ireland behandler personoplysningerne fortroligt og ikke gør dem tilgængelige for uvedkommende. Her skal bl.a. indgå momenter såsom oplysningernes karakter (følsomme/ikke-følsomme) samt omfanget af behandlingen m.v.</w:t>
      </w:r>
    </w:p>
    <w:p w14:paraId="202ED76B" w14:textId="77777777" w:rsidR="00CE511E" w:rsidRPr="00DC4F35" w:rsidRDefault="00CE511E" w:rsidP="00CE511E"/>
    <w:p w14:paraId="400AD6AC" w14:textId="2613303F" w:rsidR="00CE511E" w:rsidRPr="00DC4F35" w:rsidRDefault="00926284" w:rsidP="00CE511E">
      <w:r w:rsidRPr="00DC4F35">
        <w:t>De Dataansvarlige</w:t>
      </w:r>
      <w:r w:rsidR="00CE511E" w:rsidRPr="00DC4F35">
        <w:t xml:space="preserve"> skal endvidere føre tilsyn med Microsoft Ireland. Hvis </w:t>
      </w:r>
      <w:r w:rsidRPr="00DC4F35">
        <w:t>De Dataansvarlige</w:t>
      </w:r>
      <w:r w:rsidR="00CE511E" w:rsidRPr="00DC4F35">
        <w:t xml:space="preserve"> bliver bekendt med, at Microsoft Ireland handler i strid med databehandleraftalen – som ændret ved tilføjelsen – ved at overføre personoplysninger til et tredjeland mod </w:t>
      </w:r>
      <w:r w:rsidR="005958A0" w:rsidRPr="00DC4F35">
        <w:t xml:space="preserve">De Dataansvarliges </w:t>
      </w:r>
      <w:r w:rsidR="00CE511E" w:rsidRPr="00DC4F35">
        <w:t xml:space="preserve">instruks, skal </w:t>
      </w:r>
      <w:r w:rsidR="005958A0" w:rsidRPr="00DC4F35">
        <w:t>De Dataansvarlige</w:t>
      </w:r>
      <w:r w:rsidR="00CE511E" w:rsidRPr="00DC4F35">
        <w:t xml:space="preserve"> straks gribe ind over for dette. Der vil i så fald være tale om, at der sker et brud på persondatasikkerheden. Hvis</w:t>
      </w:r>
      <w:r w:rsidR="008B05F5" w:rsidRPr="00DC4F35">
        <w:t xml:space="preserve"> Microsoft Ireland</w:t>
      </w:r>
      <w:r w:rsidR="00CE511E" w:rsidRPr="00DC4F35">
        <w:t xml:space="preserve"> vælger at overføre personoplysninger til tredjelandet i strid med databehandleraftalen, vil der være tale om en utilsigtet overførsel, og det betyder, at databeskyttelsesforordningens regler om overførsel til tredjelande ikke finder anvendelse i forhold til </w:t>
      </w:r>
      <w:r w:rsidR="00473699" w:rsidRPr="00DC4F35">
        <w:t>De Dataansvarlige</w:t>
      </w:r>
      <w:r w:rsidR="00CE511E" w:rsidRPr="00DC4F35">
        <w:t xml:space="preserve"> som dataansvarlig.</w:t>
      </w:r>
    </w:p>
    <w:p w14:paraId="7ADA642A" w14:textId="77777777" w:rsidR="00CE511E" w:rsidRPr="00DC4F35" w:rsidRDefault="00CE511E" w:rsidP="00CE511E">
      <w:pPr>
        <w:rPr>
          <w:highlight w:val="yellow"/>
        </w:rPr>
      </w:pPr>
    </w:p>
    <w:p w14:paraId="27419DBD" w14:textId="5FFB3CD7" w:rsidR="00CE511E" w:rsidRPr="00DC4F35" w:rsidRDefault="00CE511E" w:rsidP="00CE511E">
      <w:r w:rsidRPr="00DC4F35">
        <w:rPr>
          <w:iCs/>
        </w:rPr>
        <w:t>Som et eksempel på en sådan risikovurdering har Datatilsynet i tilsynets eksempel 14 i cloud-vejledning fra marts 2022 anført, at en risikovurdering med en samlet risiko på middel (8) kan nedbringes tilstrækkeligt til en residualrisiko på lav (4) ved at ”</w:t>
      </w:r>
      <w:r w:rsidRPr="00DC4F35">
        <w:rPr>
          <w:i/>
          <w:iCs/>
        </w:rPr>
        <w:t>der indføjes i aftalevilkårene, at cloudleverandøren, herunder det amerikanske moderselskab, skal anfægte anmodningen i videst muligt omfang i henhold til amerikansk lovgivning.”</w:t>
      </w:r>
      <w:r w:rsidRPr="00DC4F35">
        <w:t xml:space="preserve"> I dette tilfælde vurderer Datatilsynet, at ”</w:t>
      </w:r>
      <w:r w:rsidRPr="00DC4F35">
        <w:rPr>
          <w:i/>
          <w:iCs/>
        </w:rPr>
        <w:t>virksomheden hav[d]e fastsat passende sikkerhedsforanstaltninger med hensyn til den konkrete trussel og dermed opfyld[t]e sine forpligtelser i henhold til databeskyttelsesforordningens regler om behandlingssikkerhed</w:t>
      </w:r>
      <w:r w:rsidR="00CE1071" w:rsidRPr="00DC4F35">
        <w:rPr>
          <w:i/>
          <w:iCs/>
        </w:rPr>
        <w:t>.</w:t>
      </w:r>
      <w:r w:rsidRPr="00DC4F35">
        <w:rPr>
          <w:i/>
          <w:iCs/>
        </w:rPr>
        <w:t>”</w:t>
      </w:r>
      <w:r w:rsidRPr="00DC4F35">
        <w:t xml:space="preserve"> </w:t>
      </w:r>
    </w:p>
    <w:p w14:paraId="1B4D2684" w14:textId="77777777" w:rsidR="00CE511E" w:rsidRPr="00DC4F35" w:rsidRDefault="00CE511E" w:rsidP="00CE511E">
      <w:pPr>
        <w:rPr>
          <w:highlight w:val="yellow"/>
        </w:rPr>
      </w:pPr>
    </w:p>
    <w:p w14:paraId="6A3DDEE8" w14:textId="2B744F74" w:rsidR="00E154DA" w:rsidRPr="00DC4F35" w:rsidRDefault="00E154DA" w:rsidP="00CE511E">
      <w:r w:rsidRPr="00DC4F35">
        <w:t xml:space="preserve">På denne baggrund har De Dataansvarlige foretaget en risikovurdering, jf. databeskyttelsesforordningens artikel 32, </w:t>
      </w:r>
      <w:r w:rsidR="00CE1071" w:rsidRPr="00DC4F35">
        <w:t>med en vurdering af konsekvensen af og sandsynligheden for, at</w:t>
      </w:r>
      <w:r w:rsidR="0021074A" w:rsidRPr="00DC4F35">
        <w:t xml:space="preserve"> </w:t>
      </w:r>
      <w:r w:rsidR="00CE1071" w:rsidRPr="00DC4F35">
        <w:t>Microsoft Ireland vil handle i strid med</w:t>
      </w:r>
      <w:r w:rsidR="00E57B2D" w:rsidRPr="00DC4F35">
        <w:t xml:space="preserve"> instruksen i</w:t>
      </w:r>
      <w:r w:rsidR="00CE1071" w:rsidRPr="00DC4F35">
        <w:t xml:space="preserve"> tilføjelsen til standardvilkåret om, at </w:t>
      </w:r>
      <w:r w:rsidR="00AA7418" w:rsidRPr="00DC4F35">
        <w:t xml:space="preserve">Microsoft Ireland </w:t>
      </w:r>
      <w:r w:rsidR="00CE1071" w:rsidRPr="00DC4F35">
        <w:t>alene vil udlevere</w:t>
      </w:r>
      <w:r w:rsidR="00AA7418" w:rsidRPr="00DC4F35">
        <w:t xml:space="preserve"> </w:t>
      </w:r>
      <w:r w:rsidR="00404354" w:rsidRPr="00DC4F35">
        <w:t xml:space="preserve">De Dataansvarliges </w:t>
      </w:r>
      <w:r w:rsidR="00AA7418" w:rsidRPr="00DC4F35">
        <w:t>data</w:t>
      </w:r>
      <w:r w:rsidR="00CE1071" w:rsidRPr="00DC4F35">
        <w:t xml:space="preserve"> til tredjelandes myndigheder, hvis </w:t>
      </w:r>
      <w:r w:rsidR="00262FCE" w:rsidRPr="00DC4F35">
        <w:t>det er hjemlet i</w:t>
      </w:r>
      <w:r w:rsidR="00CE1071" w:rsidRPr="00DC4F35">
        <w:t xml:space="preserve"> EU-retten.</w:t>
      </w:r>
    </w:p>
    <w:p w14:paraId="5D41DFA0" w14:textId="77777777" w:rsidR="0021074A" w:rsidRPr="00DC4F35" w:rsidRDefault="0021074A" w:rsidP="00CE511E"/>
    <w:p w14:paraId="4D07F705" w14:textId="1D818033" w:rsidR="00E425E8" w:rsidRPr="00DC4F35" w:rsidRDefault="00E425E8" w:rsidP="00CE511E">
      <w:r w:rsidRPr="00DC4F35">
        <w:t xml:space="preserve">Ved risikovurderingen anvendes der samme evalueringskriterier for sandsynlighed og konsekvens for de registrerede som i konsekvensanalysens afsnit om risikovurdering, jf. konsekvensanalysens afsnit </w:t>
      </w:r>
      <w:r w:rsidR="00257D7C" w:rsidRPr="00DC4F35">
        <w:t>9.2</w:t>
      </w:r>
      <w:r w:rsidRPr="00DC4F35">
        <w:t>, hvortil der henvises.</w:t>
      </w:r>
    </w:p>
    <w:p w14:paraId="1B4E4CD9" w14:textId="77777777" w:rsidR="00E425E8" w:rsidRPr="00DC4F35" w:rsidRDefault="00E425E8" w:rsidP="00CE511E"/>
    <w:p w14:paraId="2B8A2488" w14:textId="5514F4B4" w:rsidR="0021074A" w:rsidRPr="00DC4F35" w:rsidRDefault="00645EF7" w:rsidP="00CE511E">
      <w:r w:rsidRPr="00DC4F35">
        <w:t xml:space="preserve">Ved vurderingen har De Dataansvarlige taget udgangspunkt i konsekvensen for udlevering af Customer Data, der udgør de mest sensitive data i den forstand, at Customer Data kan rumme følsomme personoplysninger samt øvrige fortrolige personoplysninger. </w:t>
      </w:r>
      <w:r w:rsidR="007D71AB">
        <w:rPr>
          <w:iCs/>
        </w:rPr>
        <w:t xml:space="preserve">Risikovurderingen er baseret på det generelle princip, at vurderinger skal baseres på objektiv information, hvormed menes de specifikke og konkrete omstændigheder, som kan udledes af den påtænkte brug. </w:t>
      </w:r>
      <w:r w:rsidR="00FA30B3" w:rsidRPr="0006085A">
        <w:rPr>
          <w:iCs/>
        </w:rPr>
        <w:t xml:space="preserve">Identifikation af risici for de registreredes rettigheder og frihedsrettigheder i forbindelse med denne behandling tager sit udgangspunkt i det forhold, at behandlingen vedrører mange registrerede, herunder også potentielt børn og sårbare, og behandling af personoplysninger i stort omfang af </w:t>
      </w:r>
      <w:r w:rsidR="00FA30B3">
        <w:rPr>
          <w:iCs/>
        </w:rPr>
        <w:t>borgere i Danmark, og at behandlingen kan omfatte både ikke-følsomme, følsomme og fortrolige personoplysninger samt oplysninger om strafbare forhold om disse. Der er endvidere henset til det forhold, at behandlingen – som nærmere beskrevet i afgrænsningen i konsekvensanalysens afsnit 2.4 – ikke omfatter fortrolige og følsomme personoplysninger i form af bl.a. genetiske data, biometriske data, straffesager, asylsager m.v.</w:t>
      </w:r>
    </w:p>
    <w:p w14:paraId="002F7D4F" w14:textId="77777777" w:rsidR="00FF370E" w:rsidRPr="00DC4F35" w:rsidRDefault="00FF370E" w:rsidP="00CE511E"/>
    <w:p w14:paraId="473785FE" w14:textId="0C0A2C9F" w:rsidR="0053507A" w:rsidRPr="00DC4F35" w:rsidRDefault="00144C56" w:rsidP="00CE511E">
      <w:r w:rsidRPr="00DC4F35">
        <w:t xml:space="preserve">For så vidt angår konsekvenserne for de registrerede vurderes risikoen for udlevering af følsomme og fortrolige </w:t>
      </w:r>
      <w:r w:rsidR="00E25242" w:rsidRPr="00DC4F35">
        <w:t xml:space="preserve">personoplysninger at kunne medføre </w:t>
      </w:r>
      <w:r w:rsidR="00741ADE">
        <w:t>meget alvorlige</w:t>
      </w:r>
      <w:r w:rsidR="00741ADE" w:rsidRPr="00DC4F35">
        <w:t xml:space="preserve"> </w:t>
      </w:r>
      <w:r w:rsidR="00E25242" w:rsidRPr="00DC4F35">
        <w:t xml:space="preserve">konsekvenser, </w:t>
      </w:r>
      <w:r w:rsidR="00FE5175" w:rsidRPr="00DC4F35">
        <w:t>idet personoplysningerne i værste fald er tabt, og som det pågældende modtagerland vil kunne anvende til egne formål</w:t>
      </w:r>
      <w:r w:rsidR="008F0793">
        <w:t>, hvilket kan føre til frygt og stress for de registrerede</w:t>
      </w:r>
      <w:r w:rsidR="005C53D0" w:rsidRPr="00DC4F35">
        <w:t xml:space="preserve"> (</w:t>
      </w:r>
      <w:r w:rsidR="0001579C">
        <w:t xml:space="preserve">meget alvorlige </w:t>
      </w:r>
      <w:r w:rsidR="005C53D0" w:rsidRPr="00DC4F35">
        <w:t>konsekvenser (</w:t>
      </w:r>
      <w:r w:rsidR="0001579C">
        <w:t>3</w:t>
      </w:r>
      <w:r w:rsidR="005C53D0" w:rsidRPr="00DC4F35">
        <w:t>)).</w:t>
      </w:r>
    </w:p>
    <w:p w14:paraId="2BF551A7" w14:textId="77777777" w:rsidR="0053507A" w:rsidRPr="00DC4F35" w:rsidRDefault="0053507A" w:rsidP="00CE511E"/>
    <w:p w14:paraId="145E88BE" w14:textId="7D5E93B8" w:rsidR="008C7A49" w:rsidRPr="00DC4F35" w:rsidRDefault="0094184F" w:rsidP="0094184F">
      <w:pPr>
        <w:rPr>
          <w:lang w:eastAsia="da-DK"/>
        </w:rPr>
      </w:pPr>
      <w:r w:rsidRPr="00DC4F35">
        <w:rPr>
          <w:lang w:eastAsia="da-DK"/>
        </w:rPr>
        <w:lastRenderedPageBreak/>
        <w:t>Imidlertid vurderes det meget usandsynligt</w:t>
      </w:r>
      <w:r w:rsidR="00A87954" w:rsidRPr="00DC4F35">
        <w:rPr>
          <w:lang w:eastAsia="da-DK"/>
        </w:rPr>
        <w:t xml:space="preserve"> (1)</w:t>
      </w:r>
      <w:r w:rsidRPr="00DC4F35">
        <w:rPr>
          <w:lang w:eastAsia="da-DK"/>
        </w:rPr>
        <w:t xml:space="preserve">, at </w:t>
      </w:r>
      <w:r w:rsidR="001E0FC4" w:rsidRPr="00DC4F35">
        <w:rPr>
          <w:lang w:eastAsia="da-DK"/>
        </w:rPr>
        <w:t>en udlevering</w:t>
      </w:r>
      <w:r w:rsidRPr="00DC4F35">
        <w:rPr>
          <w:lang w:eastAsia="da-DK"/>
        </w:rPr>
        <w:t xml:space="preserve"> </w:t>
      </w:r>
      <w:r w:rsidR="001E0FC4" w:rsidRPr="00DC4F35">
        <w:rPr>
          <w:lang w:eastAsia="da-DK"/>
        </w:rPr>
        <w:t xml:space="preserve">i strid med EU-retten </w:t>
      </w:r>
      <w:r w:rsidRPr="00DC4F35">
        <w:rPr>
          <w:lang w:eastAsia="da-DK"/>
        </w:rPr>
        <w:t>skulle forekomme</w:t>
      </w:r>
      <w:r w:rsidR="00AE24BE" w:rsidRPr="00DC4F35">
        <w:rPr>
          <w:lang w:eastAsia="da-DK"/>
        </w:rPr>
        <w:t xml:space="preserve"> i lyset af de kontraktuelle foranstaltninger, der er implementeret, og som nærmere gennemgås nedenfor</w:t>
      </w:r>
      <w:r w:rsidRPr="00DC4F35">
        <w:rPr>
          <w:lang w:eastAsia="da-DK"/>
        </w:rPr>
        <w:t xml:space="preserve">. Dette giver derfor en </w:t>
      </w:r>
      <w:r w:rsidR="00B06F8F" w:rsidRPr="00B06F8F">
        <w:rPr>
          <w:b/>
          <w:bCs/>
          <w:lang w:eastAsia="da-DK"/>
        </w:rPr>
        <w:t xml:space="preserve">mellem </w:t>
      </w:r>
      <w:r w:rsidRPr="00B06F8F">
        <w:rPr>
          <w:b/>
          <w:bCs/>
          <w:lang w:eastAsia="da-DK"/>
        </w:rPr>
        <w:t>risiko</w:t>
      </w:r>
      <w:r w:rsidRPr="00DC4F35">
        <w:rPr>
          <w:lang w:eastAsia="da-DK"/>
        </w:rPr>
        <w:t xml:space="preserve"> for de registrerede</w:t>
      </w:r>
      <w:r w:rsidR="00FC2C79" w:rsidRPr="00DC4F35">
        <w:rPr>
          <w:lang w:eastAsia="da-DK"/>
        </w:rPr>
        <w:t>, som angivet i risikokortet nedenfor.</w:t>
      </w:r>
    </w:p>
    <w:p w14:paraId="2E9D81A5" w14:textId="77777777" w:rsidR="00652FA1" w:rsidRPr="00DC4F35" w:rsidRDefault="00652FA1" w:rsidP="0094184F">
      <w:pPr>
        <w:rPr>
          <w:highlight w:val="yellow"/>
          <w:lang w:eastAsia="da-DK"/>
        </w:rPr>
      </w:pPr>
    </w:p>
    <w:p w14:paraId="121D64F9" w14:textId="33A24E6C" w:rsidR="00593668" w:rsidRPr="00DC4F35" w:rsidRDefault="00593668" w:rsidP="0094184F">
      <w:pPr>
        <w:rPr>
          <w:i/>
          <w:iCs/>
          <w:lang w:eastAsia="da-DK"/>
        </w:rPr>
      </w:pPr>
      <w:r w:rsidRPr="00DC4F35">
        <w:rPr>
          <w:i/>
          <w:iCs/>
          <w:lang w:eastAsia="da-DK"/>
        </w:rPr>
        <w:t>Figur 1. Risikokort efter mitigerende foranstaltninger</w:t>
      </w:r>
      <w:r w:rsidR="00690789" w:rsidRPr="00DC4F35">
        <w:rPr>
          <w:i/>
          <w:iCs/>
          <w:lang w:eastAsia="da-DK"/>
        </w:rPr>
        <w:t xml:space="preserve"> – Customer Data</w:t>
      </w:r>
    </w:p>
    <w:p w14:paraId="28884880" w14:textId="50E6BC44" w:rsidR="00652FA1" w:rsidRPr="00DC4F35" w:rsidRDefault="00C4045F" w:rsidP="0094184F">
      <w:pPr>
        <w:rPr>
          <w:highlight w:val="yellow"/>
          <w:lang w:eastAsia="da-DK"/>
        </w:rPr>
      </w:pPr>
      <w:r>
        <w:rPr>
          <w:noProof/>
          <w:lang w:eastAsia="da-DK"/>
        </w:rPr>
        <w:drawing>
          <wp:inline distT="0" distB="0" distL="0" distR="0" wp14:anchorId="3ED1624E" wp14:editId="0774E6C2">
            <wp:extent cx="4812196" cy="2348180"/>
            <wp:effectExtent l="0" t="0" r="7620" b="0"/>
            <wp:docPr id="1272735416"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35416" name="Billede 1" descr="Et billede, der indeholder tekst, skærmbillede, Font/skrifttype, nummer/tal&#10;&#10;Automatisk genereret beskrivelse"/>
                    <pic:cNvPicPr/>
                  </pic:nvPicPr>
                  <pic:blipFill>
                    <a:blip r:embed="rId11"/>
                    <a:stretch>
                      <a:fillRect/>
                    </a:stretch>
                  </pic:blipFill>
                  <pic:spPr>
                    <a:xfrm>
                      <a:off x="0" y="0"/>
                      <a:ext cx="4823487" cy="2353689"/>
                    </a:xfrm>
                    <a:prstGeom prst="rect">
                      <a:avLst/>
                    </a:prstGeom>
                  </pic:spPr>
                </pic:pic>
              </a:graphicData>
            </a:graphic>
          </wp:inline>
        </w:drawing>
      </w:r>
    </w:p>
    <w:p w14:paraId="622EF706" w14:textId="027D0B24" w:rsidR="000717E5" w:rsidRPr="00DC4F35" w:rsidRDefault="00FC2C79" w:rsidP="0094184F">
      <w:pPr>
        <w:rPr>
          <w:lang w:eastAsia="da-DK"/>
        </w:rPr>
      </w:pPr>
      <w:r w:rsidRPr="00DC4F35">
        <w:rPr>
          <w:lang w:eastAsia="da-DK"/>
        </w:rPr>
        <w:t>Ved vurderingen</w:t>
      </w:r>
      <w:r w:rsidR="00BA72AE" w:rsidRPr="00DC4F35">
        <w:rPr>
          <w:lang w:eastAsia="da-DK"/>
        </w:rPr>
        <w:t xml:space="preserve"> af sandsynligheden har De Dataansvarlige lagt vægt på, at </w:t>
      </w:r>
      <w:r w:rsidR="001A3C85" w:rsidRPr="00DC4F35">
        <w:rPr>
          <w:lang w:eastAsia="da-DK"/>
        </w:rPr>
        <w:t xml:space="preserve">tilføjelsen til standardvilkåret om, at Microsoft Ireland </w:t>
      </w:r>
      <w:r w:rsidR="00827411" w:rsidRPr="00DC4F35">
        <w:rPr>
          <w:lang w:eastAsia="da-DK"/>
        </w:rPr>
        <w:t xml:space="preserve">ikke vil udlevere De Dataansvarliges personoplysninger opbevaret i EU, medmindre det følger af EU-retten. </w:t>
      </w:r>
      <w:r w:rsidR="00743CBE" w:rsidRPr="00DC4F35">
        <w:rPr>
          <w:lang w:eastAsia="da-DK"/>
        </w:rPr>
        <w:t xml:space="preserve">Dette vilkår må anses for en egentlig garanti fra Microsoft Ireland om, at </w:t>
      </w:r>
      <w:r w:rsidR="00D51ED7" w:rsidRPr="00DC4F35">
        <w:rPr>
          <w:lang w:eastAsia="da-DK"/>
        </w:rPr>
        <w:t xml:space="preserve">Microsoft Ireland – uden undtagelse – vil </w:t>
      </w:r>
      <w:r w:rsidR="00743CBE" w:rsidRPr="00DC4F35">
        <w:rPr>
          <w:lang w:eastAsia="da-DK"/>
        </w:rPr>
        <w:t xml:space="preserve">undlade at overføre personoplysninger som følge af anmodninger om udleveringer fra tredjelandes myndigheder i henhold til tredjelandes ret, medmindre udleveringen er hjemlet i EU-retten. </w:t>
      </w:r>
      <w:r w:rsidR="00BD6656" w:rsidRPr="00DC4F35">
        <w:rPr>
          <w:lang w:eastAsia="da-DK"/>
        </w:rPr>
        <w:t xml:space="preserve">Som tilfældet var i den ovenfor nævnte Næstved-sag </w:t>
      </w:r>
      <w:r w:rsidR="000373C1" w:rsidRPr="00DC4F35">
        <w:rPr>
          <w:lang w:eastAsia="da-DK"/>
        </w:rPr>
        <w:t xml:space="preserve">om brug af Amazon Web Services, må der kunne lægges betydelig vægt på </w:t>
      </w:r>
      <w:r w:rsidR="00C77BE4" w:rsidRPr="00DC4F35">
        <w:rPr>
          <w:lang w:eastAsia="da-DK"/>
        </w:rPr>
        <w:t>denne</w:t>
      </w:r>
      <w:r w:rsidR="000373C1" w:rsidRPr="00DC4F35">
        <w:rPr>
          <w:lang w:eastAsia="da-DK"/>
        </w:rPr>
        <w:t xml:space="preserve"> </w:t>
      </w:r>
      <w:r w:rsidR="00C77BE4" w:rsidRPr="00DC4F35">
        <w:rPr>
          <w:lang w:eastAsia="da-DK"/>
        </w:rPr>
        <w:t>garanti</w:t>
      </w:r>
      <w:r w:rsidR="000373C1" w:rsidRPr="00DC4F35">
        <w:rPr>
          <w:lang w:eastAsia="da-DK"/>
        </w:rPr>
        <w:t xml:space="preserve">. Hertil kommer, at </w:t>
      </w:r>
      <w:r w:rsidR="00286B09" w:rsidRPr="00DC4F35">
        <w:rPr>
          <w:lang w:eastAsia="da-DK"/>
        </w:rPr>
        <w:t xml:space="preserve">Microsoft Ireland </w:t>
      </w:r>
      <w:r w:rsidR="00BB01B1" w:rsidRPr="00DC4F35">
        <w:rPr>
          <w:lang w:eastAsia="da-DK"/>
        </w:rPr>
        <w:t xml:space="preserve">som gennemgået ovenfor i afsnit 3.1.2.2. </w:t>
      </w:r>
      <w:r w:rsidR="00286B09" w:rsidRPr="00DC4F35">
        <w:rPr>
          <w:lang w:eastAsia="da-DK"/>
        </w:rPr>
        <w:t xml:space="preserve">har forpligtet sig til at </w:t>
      </w:r>
      <w:r w:rsidR="000717E5" w:rsidRPr="00DC4F35">
        <w:rPr>
          <w:lang w:eastAsia="da-DK"/>
        </w:rPr>
        <w:t>anfægte anmodninger og notificere De Dataansvarlige herom i videst muligt omfang.</w:t>
      </w:r>
    </w:p>
    <w:p w14:paraId="546EF2BB" w14:textId="77777777" w:rsidR="005C2D88" w:rsidRPr="00DC4F35" w:rsidRDefault="005C2D88" w:rsidP="0094184F">
      <w:pPr>
        <w:rPr>
          <w:lang w:eastAsia="da-DK"/>
        </w:rPr>
      </w:pPr>
    </w:p>
    <w:p w14:paraId="3B217D32" w14:textId="432E37A7" w:rsidR="00AE3903" w:rsidRPr="00DC4F35" w:rsidRDefault="00F149AE" w:rsidP="0094184F">
      <w:pPr>
        <w:rPr>
          <w:lang w:eastAsia="da-DK"/>
        </w:rPr>
      </w:pPr>
      <w:r w:rsidRPr="00DC4F35">
        <w:rPr>
          <w:lang w:eastAsia="da-DK"/>
        </w:rPr>
        <w:t>Der må endvidere lægges vægt på, at et tredjelands anmodning om udlevering af personoplysninger udelukkende i henhold til</w:t>
      </w:r>
      <w:r w:rsidR="00BA773C" w:rsidRPr="00DC4F35">
        <w:rPr>
          <w:lang w:eastAsia="da-DK"/>
        </w:rPr>
        <w:t xml:space="preserve"> tredjelands ret med </w:t>
      </w:r>
      <w:r w:rsidRPr="00DC4F35">
        <w:rPr>
          <w:lang w:eastAsia="da-DK"/>
        </w:rPr>
        <w:t xml:space="preserve">ekstraterritorial </w:t>
      </w:r>
      <w:r w:rsidR="00BA773C" w:rsidRPr="00DC4F35">
        <w:rPr>
          <w:lang w:eastAsia="da-DK"/>
        </w:rPr>
        <w:t>virkning</w:t>
      </w:r>
      <w:r w:rsidRPr="00DC4F35">
        <w:rPr>
          <w:lang w:eastAsia="da-DK"/>
        </w:rPr>
        <w:t xml:space="preserve"> </w:t>
      </w:r>
      <w:r w:rsidR="00EA2DA7" w:rsidRPr="00DC4F35">
        <w:rPr>
          <w:lang w:eastAsia="da-DK"/>
        </w:rPr>
        <w:t>ikke vil kunne håndhæves og fuldbyrdes i EU ved magt.</w:t>
      </w:r>
      <w:r w:rsidR="00F04211" w:rsidRPr="00DC4F35">
        <w:rPr>
          <w:lang w:eastAsia="da-DK"/>
        </w:rPr>
        <w:t xml:space="preserve"> </w:t>
      </w:r>
    </w:p>
    <w:p w14:paraId="5F5FFD2E" w14:textId="77777777" w:rsidR="00AE3903" w:rsidRPr="00DC4F35" w:rsidRDefault="00AE3903" w:rsidP="0094184F">
      <w:pPr>
        <w:rPr>
          <w:lang w:eastAsia="da-DK"/>
        </w:rPr>
      </w:pPr>
    </w:p>
    <w:p w14:paraId="77ADA441" w14:textId="048AB791" w:rsidR="0094184F" w:rsidRPr="00DC4F35" w:rsidRDefault="00AE3903" w:rsidP="0094184F">
      <w:pPr>
        <w:rPr>
          <w:lang w:eastAsia="da-DK"/>
        </w:rPr>
      </w:pPr>
      <w:r w:rsidRPr="00DC4F35">
        <w:rPr>
          <w:lang w:eastAsia="da-DK"/>
        </w:rPr>
        <w:t>Endelig er der v</w:t>
      </w:r>
      <w:r w:rsidR="00CA1AEE" w:rsidRPr="00DC4F35">
        <w:rPr>
          <w:lang w:eastAsia="da-DK"/>
        </w:rPr>
        <w:t xml:space="preserve">ed vurderingen </w:t>
      </w:r>
      <w:r w:rsidR="00A91767" w:rsidRPr="00DC4F35">
        <w:rPr>
          <w:lang w:eastAsia="da-DK"/>
        </w:rPr>
        <w:t>af sand</w:t>
      </w:r>
      <w:r w:rsidR="00555F85" w:rsidRPr="00DC4F35">
        <w:rPr>
          <w:lang w:eastAsia="da-DK"/>
        </w:rPr>
        <w:t>s</w:t>
      </w:r>
      <w:r w:rsidR="00A91767" w:rsidRPr="00DC4F35">
        <w:rPr>
          <w:lang w:eastAsia="da-DK"/>
        </w:rPr>
        <w:t>ynligheden for udlevering af personoplysninger</w:t>
      </w:r>
      <w:r w:rsidR="00CA1AEE" w:rsidRPr="00DC4F35">
        <w:rPr>
          <w:lang w:eastAsia="da-DK"/>
        </w:rPr>
        <w:t xml:space="preserve"> lagt vægt på</w:t>
      </w:r>
      <w:r w:rsidR="001F3F17" w:rsidRPr="00DC4F35">
        <w:rPr>
          <w:lang w:eastAsia="da-DK"/>
        </w:rPr>
        <w:t xml:space="preserve">, at </w:t>
      </w:r>
      <w:r w:rsidR="00CA1AEE" w:rsidRPr="00DC4F35">
        <w:rPr>
          <w:lang w:eastAsia="da-DK"/>
        </w:rPr>
        <w:t>Microsoft</w:t>
      </w:r>
      <w:r w:rsidR="001F3F17" w:rsidRPr="00DC4F35">
        <w:rPr>
          <w:lang w:eastAsia="da-DK"/>
        </w:rPr>
        <w:t xml:space="preserve"> har</w:t>
      </w:r>
      <w:r w:rsidR="00CA1AEE" w:rsidRPr="00DC4F35">
        <w:rPr>
          <w:lang w:eastAsia="da-DK"/>
        </w:rPr>
        <w:t xml:space="preserve"> oplyst</w:t>
      </w:r>
      <w:r w:rsidR="001F3F17" w:rsidRPr="00DC4F35">
        <w:rPr>
          <w:lang w:eastAsia="da-DK"/>
        </w:rPr>
        <w:t>,</w:t>
      </w:r>
      <w:r w:rsidR="00CA1AEE" w:rsidRPr="00DC4F35">
        <w:rPr>
          <w:lang w:eastAsia="da-DK"/>
        </w:rPr>
        <w:t xml:space="preserve"> at </w:t>
      </w:r>
      <w:r w:rsidR="00101828" w:rsidRPr="00DC4F35">
        <w:rPr>
          <w:lang w:eastAsia="da-DK"/>
        </w:rPr>
        <w:t xml:space="preserve">Microsoft </w:t>
      </w:r>
      <w:r w:rsidR="0094184F" w:rsidRPr="00DC4F35">
        <w:rPr>
          <w:lang w:eastAsia="da-DK"/>
        </w:rPr>
        <w:t xml:space="preserve">aldrig </w:t>
      </w:r>
      <w:r w:rsidR="00101828" w:rsidRPr="00DC4F35">
        <w:rPr>
          <w:lang w:eastAsia="da-DK"/>
        </w:rPr>
        <w:t xml:space="preserve">har </w:t>
      </w:r>
      <w:r w:rsidR="0094184F" w:rsidRPr="00DC4F35">
        <w:rPr>
          <w:lang w:eastAsia="da-DK"/>
        </w:rPr>
        <w:t>efterkommet en udleveringsanmodning</w:t>
      </w:r>
      <w:r w:rsidR="00101828" w:rsidRPr="00DC4F35">
        <w:rPr>
          <w:lang w:eastAsia="da-DK"/>
        </w:rPr>
        <w:t xml:space="preserve"> af </w:t>
      </w:r>
      <w:r w:rsidR="00561227" w:rsidRPr="00DC4F35">
        <w:rPr>
          <w:lang w:eastAsia="da-DK"/>
        </w:rPr>
        <w:t xml:space="preserve">hverken </w:t>
      </w:r>
      <w:r w:rsidR="00101828" w:rsidRPr="00DC4F35">
        <w:rPr>
          <w:lang w:eastAsia="da-DK"/>
        </w:rPr>
        <w:t xml:space="preserve">Customer Data </w:t>
      </w:r>
      <w:r w:rsidR="00561227" w:rsidRPr="00DC4F35">
        <w:rPr>
          <w:lang w:eastAsia="da-DK"/>
        </w:rPr>
        <w:t xml:space="preserve">eller øvrige personoplysninger tilhørende </w:t>
      </w:r>
      <w:r w:rsidR="00101828" w:rsidRPr="00DC4F35">
        <w:rPr>
          <w:lang w:eastAsia="da-DK"/>
        </w:rPr>
        <w:t>offentlige kunder</w:t>
      </w:r>
      <w:r w:rsidR="002A3E19" w:rsidRPr="00DC4F35">
        <w:rPr>
          <w:lang w:eastAsia="da-DK"/>
        </w:rPr>
        <w:t xml:space="preserve"> i EU</w:t>
      </w:r>
      <w:r w:rsidR="008777D7" w:rsidRPr="00DC4F35">
        <w:rPr>
          <w:lang w:eastAsia="da-DK"/>
        </w:rPr>
        <w:t xml:space="preserve"> (</w:t>
      </w:r>
      <w:proofErr w:type="gramStart"/>
      <w:r w:rsidR="008777D7" w:rsidRPr="00DC4F35">
        <w:rPr>
          <w:lang w:eastAsia="da-DK"/>
        </w:rPr>
        <w:t>EU public</w:t>
      </w:r>
      <w:proofErr w:type="gramEnd"/>
      <w:r w:rsidR="008777D7" w:rsidRPr="00DC4F35">
        <w:rPr>
          <w:lang w:eastAsia="da-DK"/>
        </w:rPr>
        <w:t xml:space="preserve"> </w:t>
      </w:r>
      <w:proofErr w:type="spellStart"/>
      <w:r w:rsidR="008777D7" w:rsidRPr="00DC4F35">
        <w:rPr>
          <w:lang w:eastAsia="da-DK"/>
        </w:rPr>
        <w:t>sector</w:t>
      </w:r>
      <w:proofErr w:type="spellEnd"/>
      <w:r w:rsidR="00561227" w:rsidRPr="00DC4F35">
        <w:rPr>
          <w:lang w:eastAsia="da-DK"/>
        </w:rPr>
        <w:t xml:space="preserve"> </w:t>
      </w:r>
      <w:proofErr w:type="spellStart"/>
      <w:r w:rsidR="00561227" w:rsidRPr="00DC4F35">
        <w:rPr>
          <w:lang w:eastAsia="da-DK"/>
        </w:rPr>
        <w:t>customers</w:t>
      </w:r>
      <w:proofErr w:type="spellEnd"/>
      <w:r w:rsidR="008777D7" w:rsidRPr="00DC4F35">
        <w:rPr>
          <w:lang w:eastAsia="da-DK"/>
        </w:rPr>
        <w:t>)</w:t>
      </w:r>
      <w:r w:rsidR="00101828" w:rsidRPr="00DC4F35">
        <w:rPr>
          <w:lang w:eastAsia="da-DK"/>
        </w:rPr>
        <w:t xml:space="preserve">. </w:t>
      </w:r>
      <w:r w:rsidR="00C7259B" w:rsidRPr="00DC4F35">
        <w:rPr>
          <w:lang w:eastAsia="da-DK"/>
        </w:rPr>
        <w:t>Der henvises til Microsofts besvarelse</w:t>
      </w:r>
      <w:r w:rsidR="00013013" w:rsidRPr="00DC4F35">
        <w:rPr>
          <w:lang w:eastAsia="da-DK"/>
        </w:rPr>
        <w:t>r</w:t>
      </w:r>
      <w:r w:rsidR="00C7259B" w:rsidRPr="00DC4F35">
        <w:rPr>
          <w:lang w:eastAsia="da-DK"/>
        </w:rPr>
        <w:t xml:space="preserve"> af 2. april 2024 </w:t>
      </w:r>
      <w:r w:rsidR="00013013" w:rsidRPr="00DC4F35">
        <w:rPr>
          <w:lang w:eastAsia="da-DK"/>
        </w:rPr>
        <w:t xml:space="preserve">og 23 april 2024 </w:t>
      </w:r>
      <w:r w:rsidR="00C7259B" w:rsidRPr="00DC4F35">
        <w:rPr>
          <w:lang w:eastAsia="da-DK"/>
        </w:rPr>
        <w:t>til Økonomistyrelsen og Statens It, hvor spørgsmålene til Microsoft og Microsofts svar fremgår nedenfor:</w:t>
      </w:r>
    </w:p>
    <w:p w14:paraId="74410C8D" w14:textId="77777777" w:rsidR="0094184F" w:rsidRPr="00DC4F35" w:rsidRDefault="0094184F" w:rsidP="0094184F">
      <w:pPr>
        <w:rPr>
          <w:highlight w:val="yellow"/>
          <w:lang w:eastAsia="da-DK"/>
        </w:rPr>
      </w:pPr>
    </w:p>
    <w:p w14:paraId="05E55430" w14:textId="35ADAAF1" w:rsidR="00AC02E8" w:rsidRPr="001C19E7" w:rsidRDefault="00AC02E8" w:rsidP="001E4ECB">
      <w:pPr>
        <w:ind w:firstLine="1304"/>
        <w:rPr>
          <w:lang w:val="en-US" w:eastAsia="da-DK"/>
        </w:rPr>
      </w:pPr>
      <w:proofErr w:type="spellStart"/>
      <w:r w:rsidRPr="001C19E7">
        <w:rPr>
          <w:lang w:val="en-US" w:eastAsia="da-DK"/>
        </w:rPr>
        <w:t>Spørgsmål</w:t>
      </w:r>
      <w:proofErr w:type="spellEnd"/>
      <w:r w:rsidRPr="001C19E7">
        <w:rPr>
          <w:lang w:val="en-US" w:eastAsia="da-DK"/>
        </w:rPr>
        <w:t xml:space="preserve"> </w:t>
      </w:r>
      <w:proofErr w:type="spellStart"/>
      <w:r w:rsidRPr="001C19E7">
        <w:rPr>
          <w:lang w:val="en-US" w:eastAsia="da-DK"/>
        </w:rPr>
        <w:t>til</w:t>
      </w:r>
      <w:proofErr w:type="spellEnd"/>
      <w:r w:rsidRPr="001C19E7">
        <w:rPr>
          <w:lang w:val="en-US" w:eastAsia="da-DK"/>
        </w:rPr>
        <w:t xml:space="preserve"> Microsoft:</w:t>
      </w:r>
    </w:p>
    <w:p w14:paraId="04206A7B" w14:textId="6AA1AD60" w:rsidR="00AC02E8" w:rsidRPr="001C19E7" w:rsidRDefault="00AC02E8" w:rsidP="0094184F">
      <w:pPr>
        <w:rPr>
          <w:lang w:val="en-US" w:eastAsia="da-DK"/>
        </w:rPr>
      </w:pPr>
      <w:r w:rsidRPr="001C19E7">
        <w:rPr>
          <w:lang w:val="en-US" w:eastAsia="da-DK"/>
        </w:rPr>
        <w:lastRenderedPageBreak/>
        <w:tab/>
      </w:r>
    </w:p>
    <w:p w14:paraId="1ADA2E79" w14:textId="146DD85A" w:rsidR="00C7259B" w:rsidRPr="00C83C91" w:rsidRDefault="00AC02E8" w:rsidP="00AC02E8">
      <w:pPr>
        <w:ind w:left="1304"/>
        <w:rPr>
          <w:i/>
          <w:iCs/>
          <w:lang w:val="en-US" w:eastAsia="da-DK"/>
        </w:rPr>
      </w:pPr>
      <w:r w:rsidRPr="001C19E7">
        <w:rPr>
          <w:i/>
          <w:iCs/>
          <w:lang w:val="en-US" w:eastAsia="da-DK"/>
        </w:rPr>
        <w:t xml:space="preserve">“By the Law Enforcement Request Reports published by Microsoft, we understand that Microsoft has never disclosed any personal data belonging to an EU Government customer to any law enforcement agencies around the world. </w:t>
      </w:r>
      <w:r w:rsidRPr="00C83C91">
        <w:rPr>
          <w:i/>
          <w:iCs/>
          <w:lang w:val="en-US" w:eastAsia="da-DK"/>
        </w:rPr>
        <w:t>Please confirm or deny this.”</w:t>
      </w:r>
    </w:p>
    <w:p w14:paraId="50D891D7" w14:textId="77777777" w:rsidR="00424576" w:rsidRPr="00C83C91" w:rsidRDefault="00424576" w:rsidP="00424576">
      <w:pPr>
        <w:rPr>
          <w:lang w:val="en-US" w:eastAsia="da-DK"/>
        </w:rPr>
      </w:pPr>
    </w:p>
    <w:p w14:paraId="3A7FF54E" w14:textId="443C8E4D" w:rsidR="00424576" w:rsidRPr="00C83C91" w:rsidRDefault="00424576" w:rsidP="001E4ECB">
      <w:pPr>
        <w:ind w:firstLine="1304"/>
        <w:rPr>
          <w:lang w:val="en-US" w:eastAsia="da-DK"/>
        </w:rPr>
      </w:pPr>
      <w:proofErr w:type="spellStart"/>
      <w:r w:rsidRPr="00C83C91">
        <w:rPr>
          <w:lang w:val="en-US" w:eastAsia="da-DK"/>
        </w:rPr>
        <w:t>Microsofts</w:t>
      </w:r>
      <w:proofErr w:type="spellEnd"/>
      <w:r w:rsidRPr="00C83C91">
        <w:rPr>
          <w:lang w:val="en-US" w:eastAsia="da-DK"/>
        </w:rPr>
        <w:t xml:space="preserve"> </w:t>
      </w:r>
      <w:proofErr w:type="spellStart"/>
      <w:r w:rsidRPr="00C83C91">
        <w:rPr>
          <w:lang w:val="en-US" w:eastAsia="da-DK"/>
        </w:rPr>
        <w:t>svar</w:t>
      </w:r>
      <w:proofErr w:type="spellEnd"/>
      <w:r w:rsidRPr="00C83C91">
        <w:rPr>
          <w:lang w:val="en-US" w:eastAsia="da-DK"/>
        </w:rPr>
        <w:t xml:space="preserve">: </w:t>
      </w:r>
    </w:p>
    <w:p w14:paraId="4A2188FF" w14:textId="77777777" w:rsidR="00424576" w:rsidRPr="00C83C91" w:rsidRDefault="00424576" w:rsidP="00424576">
      <w:pPr>
        <w:rPr>
          <w:lang w:val="en-US" w:eastAsia="da-DK"/>
        </w:rPr>
      </w:pPr>
    </w:p>
    <w:p w14:paraId="7E2C78F9" w14:textId="3CCC4C90" w:rsidR="00424576" w:rsidRPr="001C19E7" w:rsidRDefault="00424576" w:rsidP="00424576">
      <w:pPr>
        <w:ind w:left="1304" w:firstLine="1"/>
        <w:rPr>
          <w:i/>
          <w:iCs/>
          <w:highlight w:val="yellow"/>
          <w:lang w:val="en-US" w:eastAsia="da-DK"/>
        </w:rPr>
      </w:pPr>
      <w:r w:rsidRPr="001C19E7">
        <w:rPr>
          <w:i/>
          <w:iCs/>
          <w:lang w:val="en-US" w:eastAsia="da-DK"/>
        </w:rPr>
        <w:t>“Microsoft does not provide, and has never provided, EU public sector customer data to any government law enforcement authority.</w:t>
      </w:r>
      <w:r w:rsidR="00431562" w:rsidRPr="001C19E7">
        <w:rPr>
          <w:i/>
          <w:iCs/>
          <w:lang w:val="en-US" w:eastAsia="da-DK"/>
        </w:rPr>
        <w:t xml:space="preserve"> Compliance with EU transfer requirements for personal data in the Microsoft Cloud, page 3: </w:t>
      </w:r>
      <w:r w:rsidR="00431562" w:rsidRPr="00D87AC5">
        <w:rPr>
          <w:i/>
          <w:iCs/>
          <w:lang w:val="en-US" w:eastAsia="da-DK"/>
        </w:rPr>
        <w:t>https://aka.ms/MSEUDataTransferCompliance</w:t>
      </w:r>
      <w:r w:rsidR="00431562" w:rsidRPr="001C19E7">
        <w:rPr>
          <w:i/>
          <w:iCs/>
          <w:lang w:val="en-US" w:eastAsia="da-DK"/>
        </w:rPr>
        <w:t>".</w:t>
      </w:r>
    </w:p>
    <w:p w14:paraId="05CB20A3" w14:textId="77777777" w:rsidR="00C7259B" w:rsidRPr="001C19E7" w:rsidRDefault="00C7259B" w:rsidP="0094184F">
      <w:pPr>
        <w:rPr>
          <w:highlight w:val="yellow"/>
          <w:lang w:val="en-US" w:eastAsia="da-DK"/>
        </w:rPr>
      </w:pPr>
    </w:p>
    <w:p w14:paraId="3C0CBB4E" w14:textId="4F8DED1A" w:rsidR="00592F25" w:rsidRPr="00DC4F35" w:rsidRDefault="00592F25" w:rsidP="001E4ECB">
      <w:pPr>
        <w:ind w:left="1304"/>
      </w:pPr>
      <w:r w:rsidRPr="00DC4F35">
        <w:rPr>
          <w:lang w:eastAsia="da-DK"/>
        </w:rPr>
        <w:t>Dokumentationen, som der henvises til i linket i det citerede svar fra Microsoft ovenfor, udgøres af Microsofts dokument benævnt ”</w:t>
      </w:r>
      <w:r w:rsidRPr="00DC4F35">
        <w:t xml:space="preserve">Compliance with </w:t>
      </w:r>
      <w:proofErr w:type="gramStart"/>
      <w:r w:rsidRPr="00DC4F35">
        <w:t>EU transfer</w:t>
      </w:r>
      <w:proofErr w:type="gramEnd"/>
      <w:r w:rsidRPr="00DC4F35">
        <w:t xml:space="preserve"> </w:t>
      </w:r>
      <w:proofErr w:type="spellStart"/>
      <w:r w:rsidRPr="00DC4F35">
        <w:t>requirements</w:t>
      </w:r>
      <w:proofErr w:type="spellEnd"/>
      <w:r w:rsidRPr="00DC4F35">
        <w:t xml:space="preserve"> for </w:t>
      </w:r>
      <w:proofErr w:type="spellStart"/>
      <w:r w:rsidRPr="00DC4F35">
        <w:t>personal</w:t>
      </w:r>
      <w:proofErr w:type="spellEnd"/>
      <w:r w:rsidRPr="00DC4F35">
        <w:t xml:space="preserve"> data in the Microsoft Cloud”, januar 2023, hvor der på s</w:t>
      </w:r>
      <w:r w:rsidR="0048170D" w:rsidRPr="00DC4F35">
        <w:t>ide</w:t>
      </w:r>
      <w:r w:rsidRPr="00DC4F35">
        <w:t xml:space="preserve"> 3 bl.a. anføres følgende</w:t>
      </w:r>
      <w:r w:rsidR="0048170D" w:rsidRPr="00DC4F35">
        <w:t>, som også gentages på side 9</w:t>
      </w:r>
      <w:r w:rsidRPr="00DC4F35">
        <w:t xml:space="preserve">: </w:t>
      </w:r>
    </w:p>
    <w:p w14:paraId="6FE10F82" w14:textId="77777777" w:rsidR="00592F25" w:rsidRPr="00DC4F35" w:rsidRDefault="00592F25" w:rsidP="0094184F"/>
    <w:p w14:paraId="78F98372" w14:textId="7B781BB8" w:rsidR="00592F25" w:rsidRPr="001C19E7" w:rsidRDefault="00592F25" w:rsidP="00592F25">
      <w:pPr>
        <w:ind w:left="1304" w:firstLine="1"/>
        <w:rPr>
          <w:i/>
          <w:iCs/>
          <w:highlight w:val="yellow"/>
          <w:lang w:val="en-US" w:eastAsia="da-DK"/>
        </w:rPr>
      </w:pPr>
      <w:proofErr w:type="gramStart"/>
      <w:r w:rsidRPr="001C19E7">
        <w:rPr>
          <w:i/>
          <w:iCs/>
          <w:lang w:val="en-US"/>
        </w:rPr>
        <w:t>”Moreover</w:t>
      </w:r>
      <w:proofErr w:type="gramEnd"/>
      <w:r w:rsidRPr="001C19E7">
        <w:rPr>
          <w:i/>
          <w:iCs/>
          <w:lang w:val="en-US"/>
        </w:rPr>
        <w:t>, Microsoft does not provide, and has never provided, EU enterprise customer data in response to government demands for data, except to the EU, EU member states, countries with a European Commission data protection adequacy decision, and the United States.”</w:t>
      </w:r>
    </w:p>
    <w:p w14:paraId="52AC4001" w14:textId="77777777" w:rsidR="00592F25" w:rsidRPr="001C19E7" w:rsidRDefault="00592F25" w:rsidP="0094184F">
      <w:pPr>
        <w:rPr>
          <w:highlight w:val="yellow"/>
          <w:lang w:val="en-US" w:eastAsia="da-DK"/>
        </w:rPr>
      </w:pPr>
    </w:p>
    <w:p w14:paraId="03E5611A" w14:textId="77777777" w:rsidR="00013013" w:rsidRPr="00DC4F35" w:rsidRDefault="00013013" w:rsidP="001E4ECB">
      <w:pPr>
        <w:ind w:firstLine="1304"/>
        <w:rPr>
          <w:lang w:eastAsia="da-DK"/>
        </w:rPr>
      </w:pPr>
      <w:r w:rsidRPr="00DC4F35">
        <w:rPr>
          <w:lang w:eastAsia="da-DK"/>
        </w:rPr>
        <w:t>Økonomistyrelsen og Statens It har stillet følgende supplerende spørgsmål til Microsoft:</w:t>
      </w:r>
    </w:p>
    <w:p w14:paraId="2BE579C4" w14:textId="77777777" w:rsidR="00013013" w:rsidRPr="00DC4F35" w:rsidRDefault="00013013" w:rsidP="00013013">
      <w:pPr>
        <w:rPr>
          <w:lang w:eastAsia="da-DK"/>
        </w:rPr>
      </w:pPr>
    </w:p>
    <w:p w14:paraId="641BD799" w14:textId="7E4CF3EC" w:rsidR="00013013" w:rsidRPr="001C19E7" w:rsidRDefault="00013013" w:rsidP="00013013">
      <w:pPr>
        <w:ind w:left="1304" w:firstLine="1"/>
        <w:rPr>
          <w:i/>
          <w:iCs/>
          <w:lang w:val="en-US" w:eastAsia="da-DK"/>
        </w:rPr>
      </w:pPr>
      <w:proofErr w:type="gramStart"/>
      <w:r w:rsidRPr="001C19E7">
        <w:rPr>
          <w:i/>
          <w:iCs/>
          <w:lang w:val="en-US" w:eastAsia="da-DK"/>
        </w:rPr>
        <w:t>”In</w:t>
      </w:r>
      <w:proofErr w:type="gramEnd"/>
      <w:r w:rsidRPr="001C19E7">
        <w:rPr>
          <w:i/>
          <w:iCs/>
          <w:lang w:val="en-US" w:eastAsia="da-DK"/>
        </w:rPr>
        <w:t xml:space="preserve"> the reply above Microsoft states that Microsoft does not provide, and has never provided, EU public sector </w:t>
      </w:r>
      <w:r w:rsidRPr="001C19E7">
        <w:rPr>
          <w:i/>
          <w:iCs/>
          <w:u w:val="single"/>
          <w:lang w:val="en-US" w:eastAsia="da-DK"/>
        </w:rPr>
        <w:t>customer data</w:t>
      </w:r>
      <w:r w:rsidRPr="001C19E7">
        <w:rPr>
          <w:i/>
          <w:iCs/>
          <w:lang w:val="en-US" w:eastAsia="da-DK"/>
        </w:rPr>
        <w:t xml:space="preserve"> to any government law enforcement authority (emphasis added). Has Microsoft ever disclosed personal data entailed in (1) Service Generated Data and (2) Diagnostic Data?”</w:t>
      </w:r>
    </w:p>
    <w:p w14:paraId="26E9E65E" w14:textId="77777777" w:rsidR="00013013" w:rsidRPr="001C19E7" w:rsidRDefault="00013013" w:rsidP="00013013">
      <w:pPr>
        <w:rPr>
          <w:lang w:val="en-US" w:eastAsia="da-DK"/>
        </w:rPr>
      </w:pPr>
    </w:p>
    <w:p w14:paraId="4620702A" w14:textId="5F3A4B44" w:rsidR="00013013" w:rsidRPr="00C83C91" w:rsidRDefault="00013013" w:rsidP="001E4ECB">
      <w:pPr>
        <w:ind w:firstLine="1304"/>
        <w:rPr>
          <w:lang w:val="en-US" w:eastAsia="da-DK"/>
        </w:rPr>
      </w:pPr>
      <w:r w:rsidRPr="00C83C91">
        <w:rPr>
          <w:lang w:val="en-US" w:eastAsia="da-DK"/>
        </w:rPr>
        <w:t xml:space="preserve">Microsoft </w:t>
      </w:r>
      <w:proofErr w:type="spellStart"/>
      <w:r w:rsidRPr="00C83C91">
        <w:rPr>
          <w:lang w:val="en-US" w:eastAsia="da-DK"/>
        </w:rPr>
        <w:t>har</w:t>
      </w:r>
      <w:proofErr w:type="spellEnd"/>
      <w:r w:rsidRPr="00C83C91">
        <w:rPr>
          <w:lang w:val="en-US" w:eastAsia="da-DK"/>
        </w:rPr>
        <w:t xml:space="preserve"> </w:t>
      </w:r>
      <w:proofErr w:type="spellStart"/>
      <w:r w:rsidRPr="00C83C91">
        <w:rPr>
          <w:lang w:val="en-US" w:eastAsia="da-DK"/>
        </w:rPr>
        <w:t>hertil</w:t>
      </w:r>
      <w:proofErr w:type="spellEnd"/>
      <w:r w:rsidRPr="00C83C91">
        <w:rPr>
          <w:lang w:val="en-US" w:eastAsia="da-DK"/>
        </w:rPr>
        <w:t xml:space="preserve"> </w:t>
      </w:r>
      <w:proofErr w:type="spellStart"/>
      <w:r w:rsidRPr="00C83C91">
        <w:rPr>
          <w:lang w:val="en-US" w:eastAsia="da-DK"/>
        </w:rPr>
        <w:t>svaret</w:t>
      </w:r>
      <w:proofErr w:type="spellEnd"/>
      <w:r w:rsidRPr="00C83C91">
        <w:rPr>
          <w:lang w:val="en-US" w:eastAsia="da-DK"/>
        </w:rPr>
        <w:t xml:space="preserve">: </w:t>
      </w:r>
    </w:p>
    <w:p w14:paraId="1734AE31" w14:textId="77777777" w:rsidR="00EB270A" w:rsidRPr="00C83C91" w:rsidRDefault="00EB270A" w:rsidP="001E4ECB">
      <w:pPr>
        <w:ind w:firstLine="1304"/>
        <w:rPr>
          <w:lang w:val="en-US" w:eastAsia="da-DK"/>
        </w:rPr>
      </w:pPr>
    </w:p>
    <w:p w14:paraId="5D2CABED" w14:textId="4790BA29" w:rsidR="00EB270A" w:rsidRPr="00DC4F35" w:rsidRDefault="00EB270A" w:rsidP="00D673A2">
      <w:pPr>
        <w:ind w:left="1304"/>
        <w:jc w:val="left"/>
      </w:pPr>
      <w:proofErr w:type="gramStart"/>
      <w:r w:rsidRPr="001C19E7">
        <w:rPr>
          <w:i/>
          <w:iCs/>
          <w:lang w:val="en-US" w:eastAsia="da-DK"/>
        </w:rPr>
        <w:t>”No.</w:t>
      </w:r>
      <w:proofErr w:type="gramEnd"/>
      <w:r w:rsidRPr="001C19E7">
        <w:rPr>
          <w:i/>
          <w:iCs/>
          <w:lang w:val="en-US" w:eastAsia="da-DK"/>
        </w:rPr>
        <w:t xml:space="preserve"> Microsoft does not provide, and has never provided, </w:t>
      </w:r>
      <w:r w:rsidRPr="001C19E7">
        <w:rPr>
          <w:i/>
          <w:iCs/>
          <w:u w:val="single"/>
          <w:lang w:val="en-US" w:eastAsia="da-DK"/>
        </w:rPr>
        <w:t>personal data</w:t>
      </w:r>
      <w:r w:rsidRPr="001C19E7">
        <w:rPr>
          <w:i/>
          <w:iCs/>
          <w:lang w:val="en-US" w:eastAsia="da-DK"/>
        </w:rPr>
        <w:t xml:space="preserve"> pertaining to an EU public sector customer to any government law enforcement authority.”</w:t>
      </w:r>
      <w:r w:rsidR="00D673A2" w:rsidRPr="001C19E7">
        <w:rPr>
          <w:i/>
          <w:iCs/>
          <w:lang w:val="en-US" w:eastAsia="da-DK"/>
        </w:rPr>
        <w:t xml:space="preserve"> </w:t>
      </w:r>
      <w:r w:rsidR="00D673A2" w:rsidRPr="00DC4F35">
        <w:rPr>
          <w:lang w:eastAsia="da-DK"/>
        </w:rPr>
        <w:t>(Vores understregning.)</w:t>
      </w:r>
    </w:p>
    <w:p w14:paraId="0DC3F5CA" w14:textId="77777777" w:rsidR="00013013" w:rsidRPr="00DC4F35" w:rsidRDefault="00013013" w:rsidP="0094184F">
      <w:pPr>
        <w:rPr>
          <w:lang w:eastAsia="da-DK"/>
        </w:rPr>
      </w:pPr>
    </w:p>
    <w:p w14:paraId="201CC12F" w14:textId="656A9F71" w:rsidR="00013013" w:rsidRPr="00DC4F35" w:rsidRDefault="00013013" w:rsidP="001E4ECB">
      <w:pPr>
        <w:ind w:left="1304"/>
        <w:rPr>
          <w:lang w:eastAsia="da-DK"/>
        </w:rPr>
      </w:pPr>
      <w:r w:rsidRPr="00DC4F35">
        <w:rPr>
          <w:lang w:eastAsia="da-DK"/>
        </w:rPr>
        <w:t>Økonomistyrelsen og Statens It har</w:t>
      </w:r>
      <w:r w:rsidR="001E4ECB" w:rsidRPr="00DC4F35">
        <w:rPr>
          <w:lang w:eastAsia="da-DK"/>
        </w:rPr>
        <w:t xml:space="preserve"> endvidere</w:t>
      </w:r>
      <w:r w:rsidRPr="00DC4F35">
        <w:rPr>
          <w:lang w:eastAsia="da-DK"/>
        </w:rPr>
        <w:t xml:space="preserve"> stillet følgende supplerende spørgsmål til Microsoft:</w:t>
      </w:r>
    </w:p>
    <w:p w14:paraId="59889D90" w14:textId="77777777" w:rsidR="000A5F86" w:rsidRPr="00DC4F35" w:rsidRDefault="000A5F86" w:rsidP="0094184F">
      <w:pPr>
        <w:rPr>
          <w:highlight w:val="yellow"/>
          <w:lang w:eastAsia="da-DK"/>
        </w:rPr>
      </w:pPr>
    </w:p>
    <w:p w14:paraId="6108E2D3" w14:textId="7B8F82C9" w:rsidR="000A5F86" w:rsidRPr="001C19E7" w:rsidRDefault="000A5F86" w:rsidP="000A5F86">
      <w:pPr>
        <w:ind w:left="1304" w:firstLine="1"/>
        <w:rPr>
          <w:i/>
          <w:iCs/>
          <w:lang w:val="en-US" w:eastAsia="da-DK"/>
        </w:rPr>
      </w:pPr>
      <w:r w:rsidRPr="001C19E7">
        <w:rPr>
          <w:i/>
          <w:iCs/>
          <w:lang w:val="en-US" w:eastAsia="da-DK"/>
        </w:rPr>
        <w:lastRenderedPageBreak/>
        <w:t>“Furthermore, we would appreciate to receive documentation that is newer than July-December 2022, which currently appears on Microsoft's website.”</w:t>
      </w:r>
    </w:p>
    <w:p w14:paraId="6A6802FC" w14:textId="77777777" w:rsidR="000A5F86" w:rsidRPr="001C19E7" w:rsidRDefault="000A5F86" w:rsidP="000A5F86">
      <w:pPr>
        <w:rPr>
          <w:lang w:val="en-US" w:eastAsia="da-DK"/>
        </w:rPr>
      </w:pPr>
    </w:p>
    <w:p w14:paraId="54DB5336" w14:textId="11B63786" w:rsidR="000A5F86" w:rsidRPr="00C83C91" w:rsidRDefault="000A5F86" w:rsidP="001E4ECB">
      <w:pPr>
        <w:ind w:firstLine="1304"/>
        <w:rPr>
          <w:lang w:val="en-US" w:eastAsia="da-DK"/>
        </w:rPr>
      </w:pPr>
      <w:proofErr w:type="spellStart"/>
      <w:r w:rsidRPr="00C83C91">
        <w:rPr>
          <w:lang w:val="en-US" w:eastAsia="da-DK"/>
        </w:rPr>
        <w:t>Microsofts</w:t>
      </w:r>
      <w:proofErr w:type="spellEnd"/>
      <w:r w:rsidRPr="00C83C91">
        <w:rPr>
          <w:lang w:val="en-US" w:eastAsia="da-DK"/>
        </w:rPr>
        <w:t xml:space="preserve"> </w:t>
      </w:r>
      <w:proofErr w:type="spellStart"/>
      <w:r w:rsidRPr="00C83C91">
        <w:rPr>
          <w:lang w:val="en-US" w:eastAsia="da-DK"/>
        </w:rPr>
        <w:t>svar</w:t>
      </w:r>
      <w:proofErr w:type="spellEnd"/>
      <w:r w:rsidRPr="00C83C91">
        <w:rPr>
          <w:lang w:val="en-US" w:eastAsia="da-DK"/>
        </w:rPr>
        <w:t>:</w:t>
      </w:r>
    </w:p>
    <w:p w14:paraId="4F14DC23" w14:textId="77777777" w:rsidR="000A5F86" w:rsidRPr="00C83C91" w:rsidRDefault="000A5F86" w:rsidP="000A5F86">
      <w:pPr>
        <w:rPr>
          <w:lang w:val="en-US" w:eastAsia="da-DK"/>
        </w:rPr>
      </w:pPr>
    </w:p>
    <w:p w14:paraId="5776AE84" w14:textId="7B89A7B8" w:rsidR="000A5F86" w:rsidRPr="001C19E7" w:rsidRDefault="000A5F86" w:rsidP="000A5F86">
      <w:pPr>
        <w:ind w:left="1304" w:firstLine="1"/>
        <w:rPr>
          <w:i/>
          <w:iCs/>
          <w:lang w:val="en-US" w:eastAsia="da-DK"/>
        </w:rPr>
      </w:pPr>
      <w:r w:rsidRPr="001C19E7">
        <w:rPr>
          <w:i/>
          <w:iCs/>
          <w:lang w:val="en-US" w:eastAsia="da-DK"/>
        </w:rPr>
        <w:t xml:space="preserve">“Microsoft publishes a biannual transparency report that details the number of legal demands for customer data that we receive from law enforcement agencies around the world. On average, Microsoft receives about 50,000 law enforcement demands each year, impacting roughly 110,000 individual accounts, but less than 0.7% of those legal demands seek enterprise </w:t>
      </w:r>
      <w:proofErr w:type="gramStart"/>
      <w:r w:rsidRPr="001C19E7">
        <w:rPr>
          <w:i/>
          <w:iCs/>
          <w:lang w:val="en-US" w:eastAsia="da-DK"/>
        </w:rPr>
        <w:t>customer[</w:t>
      </w:r>
      <w:proofErr w:type="gramEnd"/>
      <w:r w:rsidRPr="001C19E7">
        <w:rPr>
          <w:i/>
          <w:iCs/>
          <w:lang w:val="en-US" w:eastAsia="da-DK"/>
        </w:rPr>
        <w:t xml:space="preserve">note </w:t>
      </w:r>
      <w:proofErr w:type="spellStart"/>
      <w:r w:rsidRPr="001C19E7">
        <w:rPr>
          <w:i/>
          <w:iCs/>
          <w:lang w:val="en-US" w:eastAsia="da-DK"/>
        </w:rPr>
        <w:t>udeladt</w:t>
      </w:r>
      <w:proofErr w:type="spellEnd"/>
      <w:r w:rsidRPr="001C19E7">
        <w:rPr>
          <w:i/>
          <w:iCs/>
          <w:lang w:val="en-US" w:eastAsia="da-DK"/>
        </w:rPr>
        <w:t>] data.</w:t>
      </w:r>
    </w:p>
    <w:p w14:paraId="3370CCF9" w14:textId="77777777" w:rsidR="00C75FE4" w:rsidRPr="001C19E7" w:rsidRDefault="00C75FE4" w:rsidP="000A5F86">
      <w:pPr>
        <w:ind w:left="1304" w:firstLine="1"/>
        <w:rPr>
          <w:i/>
          <w:iCs/>
          <w:lang w:val="en-US" w:eastAsia="da-DK"/>
        </w:rPr>
      </w:pPr>
    </w:p>
    <w:p w14:paraId="4D661B85" w14:textId="69D8D2B3" w:rsidR="00C75FE4" w:rsidRPr="001C19E7" w:rsidRDefault="00C75FE4" w:rsidP="000A5F86">
      <w:pPr>
        <w:ind w:left="1304" w:firstLine="1"/>
        <w:rPr>
          <w:i/>
          <w:iCs/>
          <w:highlight w:val="yellow"/>
          <w:lang w:val="en-US" w:eastAsia="da-DK"/>
        </w:rPr>
      </w:pPr>
      <w:r w:rsidRPr="001C19E7">
        <w:rPr>
          <w:i/>
          <w:iCs/>
          <w:lang w:val="en-US" w:eastAsia="da-DK"/>
        </w:rPr>
        <w:t>For internal procedural reasons the publications have been delayed. Our analysis for this document shows, that the numbers in the first half of 2023 are generally consistent with enterprise requests from the prior reporting period, July-December 2022. And of the 172 total requests from law enforcement around the world for accounts associated with enterprise cloud customers, Microsoft provided content data to U.S. law enforcement related to four non-US enterprise customers, none of which were based in the EU. Law Enforcement Requests Reports published at https://aka.ms/MSLERR. And our U.S. National Security Orders Report at https://aka.ms/MSLERNSO.”</w:t>
      </w:r>
    </w:p>
    <w:p w14:paraId="3A744B4A" w14:textId="77777777" w:rsidR="000A5F86" w:rsidRPr="001C19E7" w:rsidRDefault="000A5F86" w:rsidP="0094184F">
      <w:pPr>
        <w:rPr>
          <w:highlight w:val="yellow"/>
          <w:lang w:val="en-US" w:eastAsia="da-DK"/>
        </w:rPr>
      </w:pPr>
    </w:p>
    <w:p w14:paraId="517692D6" w14:textId="50BF03DE" w:rsidR="00682966" w:rsidRPr="00DC4F35" w:rsidRDefault="00682966" w:rsidP="00682966">
      <w:pPr>
        <w:rPr>
          <w:lang w:eastAsia="da-DK"/>
        </w:rPr>
      </w:pPr>
      <w:r w:rsidRPr="00DC4F35">
        <w:rPr>
          <w:lang w:eastAsia="da-DK"/>
        </w:rPr>
        <w:t xml:space="preserve">Som det fremgår af Microsofts svar ovenfor, har Microsoft efter det oplyste aldrig udleveret personoplysninger – uanset om der er tale om </w:t>
      </w:r>
      <w:r w:rsidR="00696CCE" w:rsidRPr="00DC4F35">
        <w:rPr>
          <w:lang w:eastAsia="da-DK"/>
        </w:rPr>
        <w:t xml:space="preserve">personoplysninger i </w:t>
      </w:r>
      <w:r w:rsidRPr="00DC4F35">
        <w:rPr>
          <w:lang w:eastAsia="da-DK"/>
        </w:rPr>
        <w:t>Customer data eller øvrige former for datakategorier – tilhørende en EU offentlig myndighed (</w:t>
      </w:r>
      <w:proofErr w:type="gramStart"/>
      <w:r w:rsidRPr="00DC4F35">
        <w:rPr>
          <w:lang w:eastAsia="da-DK"/>
        </w:rPr>
        <w:t>EU public</w:t>
      </w:r>
      <w:proofErr w:type="gramEnd"/>
      <w:r w:rsidRPr="00DC4F35">
        <w:rPr>
          <w:lang w:eastAsia="da-DK"/>
        </w:rPr>
        <w:t xml:space="preserve"> </w:t>
      </w:r>
      <w:proofErr w:type="spellStart"/>
      <w:r w:rsidRPr="00DC4F35">
        <w:rPr>
          <w:lang w:eastAsia="da-DK"/>
        </w:rPr>
        <w:t>sector</w:t>
      </w:r>
      <w:proofErr w:type="spellEnd"/>
      <w:r w:rsidRPr="00DC4F35">
        <w:rPr>
          <w:lang w:eastAsia="da-DK"/>
        </w:rPr>
        <w:t xml:space="preserve"> </w:t>
      </w:r>
      <w:proofErr w:type="spellStart"/>
      <w:r w:rsidRPr="00DC4F35">
        <w:rPr>
          <w:lang w:eastAsia="da-DK"/>
        </w:rPr>
        <w:t>customer</w:t>
      </w:r>
      <w:proofErr w:type="spellEnd"/>
      <w:r w:rsidRPr="00DC4F35">
        <w:rPr>
          <w:lang w:eastAsia="da-DK"/>
        </w:rPr>
        <w:t>) til retshåndhævende myndigheder i tredjelande.</w:t>
      </w:r>
    </w:p>
    <w:p w14:paraId="7AF5D373" w14:textId="77777777" w:rsidR="00257540" w:rsidRPr="00DC4F35" w:rsidRDefault="00257540" w:rsidP="00682966">
      <w:pPr>
        <w:rPr>
          <w:lang w:eastAsia="da-DK"/>
        </w:rPr>
      </w:pPr>
    </w:p>
    <w:p w14:paraId="645DE416" w14:textId="27E866C3" w:rsidR="00257540" w:rsidRPr="00DC4F35" w:rsidRDefault="00257540" w:rsidP="00682966">
      <w:pPr>
        <w:rPr>
          <w:lang w:eastAsia="da-DK"/>
        </w:rPr>
      </w:pPr>
      <w:r w:rsidRPr="00DC4F35">
        <w:t xml:space="preserve">Der kan endvidere henvises til en konsekvensanalyse vedrørende databeskyttelse for behandlingen af personoplysninger i Microsoft Teams, OneDrive, </w:t>
      </w:r>
      <w:proofErr w:type="spellStart"/>
      <w:r w:rsidRPr="00DC4F35">
        <w:t>Sharepoint</w:t>
      </w:r>
      <w:proofErr w:type="spellEnd"/>
      <w:r w:rsidRPr="00DC4F35">
        <w:t xml:space="preserve"> og </w:t>
      </w:r>
      <w:proofErr w:type="spellStart"/>
      <w:r w:rsidRPr="00DC4F35">
        <w:t>Azure</w:t>
      </w:r>
      <w:proofErr w:type="spellEnd"/>
      <w:r w:rsidRPr="00DC4F35">
        <w:t xml:space="preserve"> AD udarbejdet af bl.a. det hollandske justits- og sikkerhedsministerium.</w:t>
      </w:r>
      <w:r w:rsidRPr="00DC4F35">
        <w:rPr>
          <w:rStyle w:val="Fodnotehenvisning"/>
        </w:rPr>
        <w:footnoteReference w:id="18"/>
      </w:r>
      <w:r w:rsidRPr="00DC4F35">
        <w:t xml:space="preserve"> I konsekvensanalysen anvendes der en risikobaseret tilgang til vurderingen af lovligheden af overførsler af personoplysninger til USA (før implementeringen af EU-US Data </w:t>
      </w:r>
      <w:proofErr w:type="spellStart"/>
      <w:r w:rsidRPr="00DC4F35">
        <w:t>Privacy</w:t>
      </w:r>
      <w:proofErr w:type="spellEnd"/>
      <w:r w:rsidRPr="00DC4F35">
        <w:t xml:space="preserve"> Framework), og hvor der </w:t>
      </w:r>
      <w:r w:rsidR="00202D50" w:rsidRPr="00DC4F35">
        <w:t>også lægges vægt på</w:t>
      </w:r>
      <w:r w:rsidR="00513E0E" w:rsidRPr="00DC4F35">
        <w:t xml:space="preserve"> Microsoft</w:t>
      </w:r>
      <w:r w:rsidR="00805DD2" w:rsidRPr="00DC4F35">
        <w:t>s</w:t>
      </w:r>
      <w:r w:rsidR="00513E0E" w:rsidRPr="00DC4F35">
        <w:t xml:space="preserve"> </w:t>
      </w:r>
      <w:r w:rsidR="00A32CFC" w:rsidRPr="00DC4F35">
        <w:t xml:space="preserve">– og øvrige cloudservice </w:t>
      </w:r>
      <w:proofErr w:type="spellStart"/>
      <w:r w:rsidR="00A32CFC" w:rsidRPr="00DC4F35">
        <w:t>providers</w:t>
      </w:r>
      <w:proofErr w:type="spellEnd"/>
      <w:r w:rsidR="00A32CFC" w:rsidRPr="00DC4F35">
        <w:t xml:space="preserve"> – informationer om udleveringer til tredjelande, jf. særligt s. 80 ff.</w:t>
      </w:r>
      <w:r w:rsidR="00513E0E" w:rsidRPr="00DC4F35">
        <w:t xml:space="preserve"> </w:t>
      </w:r>
    </w:p>
    <w:p w14:paraId="119B396D" w14:textId="77777777" w:rsidR="00682966" w:rsidRPr="00DC4F35" w:rsidRDefault="00682966" w:rsidP="0094184F">
      <w:pPr>
        <w:rPr>
          <w:highlight w:val="yellow"/>
          <w:lang w:eastAsia="da-DK"/>
        </w:rPr>
      </w:pPr>
    </w:p>
    <w:p w14:paraId="598EE7BD" w14:textId="0D4917EE" w:rsidR="00AD275B" w:rsidRPr="00DC4F35" w:rsidRDefault="00AD275B" w:rsidP="0094184F">
      <w:pPr>
        <w:rPr>
          <w:lang w:eastAsia="da-DK"/>
        </w:rPr>
      </w:pPr>
      <w:r w:rsidRPr="00DC4F35">
        <w:rPr>
          <w:lang w:eastAsia="da-DK"/>
        </w:rPr>
        <w:lastRenderedPageBreak/>
        <w:t>Samlet set er det således</w:t>
      </w:r>
      <w:r w:rsidR="00D20CE7" w:rsidRPr="00DC4F35">
        <w:rPr>
          <w:lang w:eastAsia="da-DK"/>
        </w:rPr>
        <w:t xml:space="preserve"> på denne baggrund</w:t>
      </w:r>
      <w:r w:rsidRPr="00DC4F35">
        <w:rPr>
          <w:lang w:eastAsia="da-DK"/>
        </w:rPr>
        <w:t xml:space="preserve"> De Dataansvarliges opfattelse, at udlevering af personoplysninger i Customer Data må anses for meget usandsynligt.</w:t>
      </w:r>
    </w:p>
    <w:p w14:paraId="43E4D26F" w14:textId="77777777" w:rsidR="00AD275B" w:rsidRPr="00DC4F35" w:rsidRDefault="00AD275B" w:rsidP="0094184F">
      <w:pPr>
        <w:rPr>
          <w:highlight w:val="yellow"/>
          <w:lang w:eastAsia="da-DK"/>
        </w:rPr>
      </w:pPr>
    </w:p>
    <w:p w14:paraId="61831759" w14:textId="440A2146" w:rsidR="00FC5745" w:rsidRPr="00DC4F35" w:rsidRDefault="00664FFF" w:rsidP="0094184F">
      <w:pPr>
        <w:rPr>
          <w:lang w:eastAsia="da-DK"/>
        </w:rPr>
      </w:pPr>
      <w:r w:rsidRPr="00DC4F35">
        <w:rPr>
          <w:lang w:eastAsia="da-DK"/>
        </w:rPr>
        <w:t>For så vidt angår</w:t>
      </w:r>
      <w:r w:rsidR="0094184F" w:rsidRPr="00DC4F35">
        <w:rPr>
          <w:lang w:eastAsia="da-DK"/>
        </w:rPr>
        <w:t xml:space="preserve"> </w:t>
      </w:r>
      <w:r w:rsidR="00F20395" w:rsidRPr="00DC4F35">
        <w:rPr>
          <w:lang w:eastAsia="da-DK"/>
        </w:rPr>
        <w:t xml:space="preserve">risikoen for </w:t>
      </w:r>
      <w:r w:rsidR="0094184F" w:rsidRPr="00DC4F35">
        <w:rPr>
          <w:lang w:eastAsia="da-DK"/>
        </w:rPr>
        <w:t>udlevering til tredjelandes myndigheder af øvrige personoplysninger</w:t>
      </w:r>
      <w:r w:rsidR="00176D5D" w:rsidRPr="00DC4F35">
        <w:rPr>
          <w:lang w:eastAsia="da-DK"/>
        </w:rPr>
        <w:t xml:space="preserve"> i øvrige datakategorier</w:t>
      </w:r>
      <w:r w:rsidR="0094184F" w:rsidRPr="00DC4F35">
        <w:rPr>
          <w:lang w:eastAsia="da-DK"/>
        </w:rPr>
        <w:t xml:space="preserve"> vurderes det i stedet, at konsekvenserne for de registrerede vil være </w:t>
      </w:r>
      <w:r w:rsidR="0034326C">
        <w:rPr>
          <w:lang w:eastAsia="da-DK"/>
        </w:rPr>
        <w:t>mindre alvorlige (2)</w:t>
      </w:r>
      <w:r w:rsidR="00834CAB" w:rsidRPr="00DC4F35">
        <w:rPr>
          <w:lang w:eastAsia="da-DK"/>
        </w:rPr>
        <w:t xml:space="preserve"> og i værste fald </w:t>
      </w:r>
      <w:r w:rsidR="00590BCC" w:rsidRPr="00DC4F35">
        <w:rPr>
          <w:lang w:eastAsia="da-DK"/>
        </w:rPr>
        <w:t xml:space="preserve">meget </w:t>
      </w:r>
      <w:r w:rsidR="006E042C">
        <w:rPr>
          <w:lang w:eastAsia="da-DK"/>
        </w:rPr>
        <w:t>alvorlige</w:t>
      </w:r>
      <w:r w:rsidR="006E042C" w:rsidRPr="00DC4F35">
        <w:rPr>
          <w:lang w:eastAsia="da-DK"/>
        </w:rPr>
        <w:t xml:space="preserve"> </w:t>
      </w:r>
      <w:r w:rsidR="00834CAB" w:rsidRPr="00DC4F35">
        <w:rPr>
          <w:lang w:eastAsia="da-DK"/>
        </w:rPr>
        <w:t>(</w:t>
      </w:r>
      <w:r w:rsidR="006E042C">
        <w:rPr>
          <w:lang w:eastAsia="da-DK"/>
        </w:rPr>
        <w:t>3</w:t>
      </w:r>
      <w:r w:rsidR="00834CAB" w:rsidRPr="00DC4F35">
        <w:rPr>
          <w:lang w:eastAsia="da-DK"/>
        </w:rPr>
        <w:t>)</w:t>
      </w:r>
      <w:r w:rsidR="00590BCC" w:rsidRPr="00DC4F35">
        <w:rPr>
          <w:lang w:eastAsia="da-DK"/>
        </w:rPr>
        <w:t xml:space="preserve"> forstået som frygt for, hvad oplysningerne kan anvendes til (tab af kontrol),</w:t>
      </w:r>
      <w:r w:rsidR="0094184F" w:rsidRPr="00DC4F35">
        <w:rPr>
          <w:lang w:eastAsia="da-DK"/>
        </w:rPr>
        <w:t xml:space="preserve"> ligesom </w:t>
      </w:r>
      <w:r w:rsidR="00DF2069" w:rsidRPr="00DC4F35">
        <w:rPr>
          <w:lang w:eastAsia="da-DK"/>
        </w:rPr>
        <w:t>sandsynligheden for udlevering</w:t>
      </w:r>
      <w:r w:rsidR="0094184F" w:rsidRPr="00DC4F35">
        <w:rPr>
          <w:lang w:eastAsia="da-DK"/>
        </w:rPr>
        <w:t xml:space="preserve"> vurderes </w:t>
      </w:r>
      <w:r w:rsidR="0023673A" w:rsidRPr="00DC4F35">
        <w:rPr>
          <w:lang w:eastAsia="da-DK"/>
        </w:rPr>
        <w:t xml:space="preserve">fortsat </w:t>
      </w:r>
      <w:r w:rsidR="0094184F" w:rsidRPr="00DC4F35">
        <w:rPr>
          <w:lang w:eastAsia="da-DK"/>
        </w:rPr>
        <w:t xml:space="preserve">at være </w:t>
      </w:r>
      <w:r w:rsidR="0023673A" w:rsidRPr="00DC4F35">
        <w:rPr>
          <w:lang w:eastAsia="da-DK"/>
        </w:rPr>
        <w:t xml:space="preserve">meget </w:t>
      </w:r>
      <w:r w:rsidR="00DF2069" w:rsidRPr="00DC4F35">
        <w:rPr>
          <w:lang w:eastAsia="da-DK"/>
        </w:rPr>
        <w:t>usandsynlig</w:t>
      </w:r>
      <w:r w:rsidR="0023673A" w:rsidRPr="00DC4F35">
        <w:rPr>
          <w:lang w:eastAsia="da-DK"/>
        </w:rPr>
        <w:t>t</w:t>
      </w:r>
      <w:r w:rsidR="00834CAB" w:rsidRPr="00DC4F35">
        <w:rPr>
          <w:lang w:eastAsia="da-DK"/>
        </w:rPr>
        <w:t xml:space="preserve"> (</w:t>
      </w:r>
      <w:r w:rsidR="0023673A" w:rsidRPr="00DC4F35">
        <w:rPr>
          <w:lang w:eastAsia="da-DK"/>
        </w:rPr>
        <w:t>1</w:t>
      </w:r>
      <w:r w:rsidR="00834CAB" w:rsidRPr="00DC4F35">
        <w:rPr>
          <w:lang w:eastAsia="da-DK"/>
        </w:rPr>
        <w:t>)</w:t>
      </w:r>
      <w:r w:rsidR="0094184F" w:rsidRPr="00DC4F35">
        <w:rPr>
          <w:lang w:eastAsia="da-DK"/>
        </w:rPr>
        <w:t xml:space="preserve">. Det fører til en </w:t>
      </w:r>
      <w:r w:rsidR="00AD2FE8" w:rsidRPr="00B31E96">
        <w:rPr>
          <w:b/>
          <w:bCs/>
          <w:lang w:eastAsia="da-DK"/>
        </w:rPr>
        <w:t>lav-</w:t>
      </w:r>
      <w:r w:rsidR="00834CAB" w:rsidRPr="00B31E96">
        <w:rPr>
          <w:b/>
          <w:bCs/>
          <w:lang w:eastAsia="da-DK"/>
        </w:rPr>
        <w:t>medium</w:t>
      </w:r>
      <w:r w:rsidR="0094184F" w:rsidRPr="00B31E96">
        <w:rPr>
          <w:b/>
          <w:bCs/>
          <w:lang w:eastAsia="da-DK"/>
        </w:rPr>
        <w:t xml:space="preserve"> risiko</w:t>
      </w:r>
      <w:r w:rsidR="0094184F" w:rsidRPr="00DC4F35">
        <w:rPr>
          <w:lang w:eastAsia="da-DK"/>
        </w:rPr>
        <w:t xml:space="preserve"> for de registrerede</w:t>
      </w:r>
      <w:r w:rsidR="00392F3F" w:rsidRPr="00DC4F35">
        <w:rPr>
          <w:lang w:eastAsia="da-DK"/>
        </w:rPr>
        <w:t>, som illustreret i nedenstående risikokort:</w:t>
      </w:r>
    </w:p>
    <w:p w14:paraId="6CF4F60C" w14:textId="77777777" w:rsidR="00392F3F" w:rsidRPr="00DC4F35" w:rsidRDefault="00392F3F" w:rsidP="0094184F">
      <w:pPr>
        <w:rPr>
          <w:lang w:eastAsia="da-DK"/>
        </w:rPr>
      </w:pPr>
    </w:p>
    <w:p w14:paraId="650F7E59" w14:textId="25C1FD5F" w:rsidR="00ED682D" w:rsidRPr="00DC4F35" w:rsidRDefault="00ED682D" w:rsidP="00ED682D">
      <w:pPr>
        <w:rPr>
          <w:i/>
          <w:iCs/>
          <w:lang w:eastAsia="da-DK"/>
        </w:rPr>
      </w:pPr>
      <w:r w:rsidRPr="00DC4F35">
        <w:rPr>
          <w:i/>
          <w:iCs/>
          <w:lang w:eastAsia="da-DK"/>
        </w:rPr>
        <w:t xml:space="preserve">Figur 2. Risikokort efter mitigerende foranstaltninger – </w:t>
      </w:r>
      <w:r w:rsidR="00176D5D" w:rsidRPr="00DC4F35">
        <w:rPr>
          <w:i/>
          <w:iCs/>
          <w:lang w:eastAsia="da-DK"/>
        </w:rPr>
        <w:t>øvrige datakategorier</w:t>
      </w:r>
    </w:p>
    <w:p w14:paraId="11D786D3" w14:textId="0F59B38C" w:rsidR="00392F3F" w:rsidRPr="00DC4F35" w:rsidRDefault="0034326C" w:rsidP="0094184F">
      <w:pPr>
        <w:rPr>
          <w:lang w:eastAsia="da-DK"/>
        </w:rPr>
      </w:pPr>
      <w:r>
        <w:rPr>
          <w:noProof/>
          <w:lang w:eastAsia="da-DK"/>
        </w:rPr>
        <w:drawing>
          <wp:inline distT="0" distB="0" distL="0" distR="0" wp14:anchorId="49689B5A" wp14:editId="7E955BD2">
            <wp:extent cx="4893868" cy="2453535"/>
            <wp:effectExtent l="0" t="0" r="2540" b="4445"/>
            <wp:docPr id="1662033578"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33578" name="Billede 1" descr="Et billede, der indeholder tekst, skærmbillede, Font/skrifttype, nummer/tal&#10;&#10;Automatisk genereret beskrivelse"/>
                    <pic:cNvPicPr/>
                  </pic:nvPicPr>
                  <pic:blipFill>
                    <a:blip r:embed="rId12"/>
                    <a:stretch>
                      <a:fillRect/>
                    </a:stretch>
                  </pic:blipFill>
                  <pic:spPr>
                    <a:xfrm>
                      <a:off x="0" y="0"/>
                      <a:ext cx="4914922" cy="2464090"/>
                    </a:xfrm>
                    <a:prstGeom prst="rect">
                      <a:avLst/>
                    </a:prstGeom>
                  </pic:spPr>
                </pic:pic>
              </a:graphicData>
            </a:graphic>
          </wp:inline>
        </w:drawing>
      </w:r>
    </w:p>
    <w:p w14:paraId="7DBAB40E" w14:textId="780A65B9" w:rsidR="00726905" w:rsidRPr="00DC4F35" w:rsidRDefault="00693593" w:rsidP="0094184F">
      <w:pPr>
        <w:rPr>
          <w:lang w:eastAsia="da-DK"/>
        </w:rPr>
      </w:pPr>
      <w:r w:rsidRPr="00DC4F35">
        <w:rPr>
          <w:lang w:eastAsia="da-DK"/>
        </w:rPr>
        <w:t xml:space="preserve">For så vidt angår konsekvenserne for de registrerede er der lagt vægt på, at </w:t>
      </w:r>
      <w:r w:rsidR="00175BF6" w:rsidRPr="00DC4F35">
        <w:rPr>
          <w:lang w:eastAsia="da-DK"/>
        </w:rPr>
        <w:t xml:space="preserve">personoplysningerne ikke vil have samme sensitive karakter som tilfældet ved Customer Data, idet personoplysningerne i altovervejende omfang vil udgøres af ikke-følsomme personoplysninger omfattet af </w:t>
      </w:r>
      <w:r w:rsidR="00CF129A" w:rsidRPr="00DC4F35">
        <w:rPr>
          <w:lang w:eastAsia="da-DK"/>
        </w:rPr>
        <w:t>databeskyttelsesforordningens artikel 6 i form af oplysninger om brugernes (de ansattes) interaktion med tjenesterne og services</w:t>
      </w:r>
      <w:r w:rsidR="00825C68" w:rsidRPr="00DC4F35">
        <w:rPr>
          <w:lang w:eastAsia="da-DK"/>
        </w:rPr>
        <w:t xml:space="preserve"> i </w:t>
      </w:r>
      <w:proofErr w:type="spellStart"/>
      <w:r w:rsidR="00825C68" w:rsidRPr="00DC4F35">
        <w:rPr>
          <w:lang w:eastAsia="da-DK"/>
        </w:rPr>
        <w:t>pseudonymiseret</w:t>
      </w:r>
      <w:proofErr w:type="spellEnd"/>
      <w:r w:rsidR="00825C68" w:rsidRPr="00DC4F35">
        <w:rPr>
          <w:lang w:eastAsia="da-DK"/>
        </w:rPr>
        <w:t xml:space="preserve"> form</w:t>
      </w:r>
      <w:r w:rsidR="00CF129A" w:rsidRPr="00DC4F35">
        <w:rPr>
          <w:lang w:eastAsia="da-DK"/>
        </w:rPr>
        <w:t>.</w:t>
      </w:r>
    </w:p>
    <w:p w14:paraId="5F3C5DA9" w14:textId="77777777" w:rsidR="001D05BA" w:rsidRPr="00DC4F35" w:rsidRDefault="001D05BA" w:rsidP="0094184F">
      <w:pPr>
        <w:rPr>
          <w:lang w:eastAsia="da-DK"/>
        </w:rPr>
      </w:pPr>
    </w:p>
    <w:p w14:paraId="60D4DDBF" w14:textId="7FF3F1B2" w:rsidR="001D05BA" w:rsidRPr="00DC4F35" w:rsidRDefault="001D05BA" w:rsidP="0094184F">
      <w:pPr>
        <w:rPr>
          <w:lang w:eastAsia="da-DK"/>
        </w:rPr>
      </w:pPr>
      <w:r w:rsidRPr="00DC4F35">
        <w:rPr>
          <w:lang w:eastAsia="da-DK"/>
        </w:rPr>
        <w:t xml:space="preserve">For så vidt angår sandsynlighedsvurdering er der lagt vægt på de samme forhold som anført ovenfor vedrørende vurderingen af udlevering af Customer Data. </w:t>
      </w:r>
    </w:p>
    <w:p w14:paraId="39603566" w14:textId="77777777" w:rsidR="0081320D" w:rsidRPr="00DC4F35" w:rsidRDefault="0081320D" w:rsidP="0036440D">
      <w:pPr>
        <w:rPr>
          <w:iCs/>
        </w:rPr>
      </w:pPr>
    </w:p>
    <w:p w14:paraId="60EE7C23" w14:textId="77777777" w:rsidR="0036440D" w:rsidRPr="00DC4F35" w:rsidRDefault="0036440D" w:rsidP="0036440D">
      <w:pPr>
        <w:pStyle w:val="Overskrift3"/>
      </w:pPr>
      <w:bookmarkStart w:id="29" w:name="_Ref164342175"/>
      <w:bookmarkStart w:id="30" w:name="_Toc170824026"/>
      <w:r w:rsidRPr="00DC4F35">
        <w:t>Særligt om videregivelse til Microsofts egne formål</w:t>
      </w:r>
      <w:bookmarkEnd w:id="29"/>
      <w:bookmarkEnd w:id="30"/>
    </w:p>
    <w:p w14:paraId="34FA4AF9" w14:textId="10894B33" w:rsidR="00BC2D9E" w:rsidRPr="00DC4F35" w:rsidRDefault="00EB25FA" w:rsidP="00BC2D9E">
      <w:pPr>
        <w:rPr>
          <w:rFonts w:cstheme="minorHAnsi"/>
        </w:rPr>
      </w:pPr>
      <w:r w:rsidRPr="00DC4F35">
        <w:rPr>
          <w:rFonts w:cstheme="minorHAnsi"/>
        </w:rPr>
        <w:t>Som nærmere beskrevet i konsekvensanalysen</w:t>
      </w:r>
      <w:r w:rsidR="00CD6C8E" w:rsidRPr="00DC4F35">
        <w:rPr>
          <w:rFonts w:cstheme="minorHAnsi"/>
        </w:rPr>
        <w:t xml:space="preserve">s afsnit </w:t>
      </w:r>
      <w:r w:rsidR="00B105BE" w:rsidRPr="00DC4F35">
        <w:rPr>
          <w:rFonts w:cstheme="minorHAnsi"/>
        </w:rPr>
        <w:t xml:space="preserve">5 </w:t>
      </w:r>
      <w:r w:rsidRPr="00DC4F35">
        <w:rPr>
          <w:rFonts w:cstheme="minorHAnsi"/>
        </w:rPr>
        <w:t xml:space="preserve">vil </w:t>
      </w:r>
      <w:r w:rsidR="0036440D" w:rsidRPr="00DC4F35">
        <w:rPr>
          <w:rFonts w:cstheme="minorHAnsi"/>
        </w:rPr>
        <w:t>Microsoft</w:t>
      </w:r>
      <w:r w:rsidR="00F1323E" w:rsidRPr="00DC4F35">
        <w:rPr>
          <w:rFonts w:cstheme="minorHAnsi"/>
        </w:rPr>
        <w:t xml:space="preserve"> </w:t>
      </w:r>
      <w:r w:rsidRPr="00DC4F35">
        <w:rPr>
          <w:rFonts w:cstheme="minorHAnsi"/>
        </w:rPr>
        <w:t xml:space="preserve">Ireland </w:t>
      </w:r>
      <w:r w:rsidR="00F1323E" w:rsidRPr="00DC4F35">
        <w:rPr>
          <w:rFonts w:cstheme="minorHAnsi"/>
        </w:rPr>
        <w:t>videreanvende</w:t>
      </w:r>
      <w:r w:rsidRPr="00DC4F35">
        <w:rPr>
          <w:rFonts w:cstheme="minorHAnsi"/>
        </w:rPr>
        <w:t xml:space="preserve"> </w:t>
      </w:r>
      <w:proofErr w:type="spellStart"/>
      <w:r w:rsidRPr="00DC4F35">
        <w:rPr>
          <w:rFonts w:cstheme="minorHAnsi"/>
        </w:rPr>
        <w:t>pseudonymiserede</w:t>
      </w:r>
      <w:proofErr w:type="spellEnd"/>
      <w:r w:rsidRPr="00DC4F35">
        <w:rPr>
          <w:rFonts w:cstheme="minorHAnsi"/>
        </w:rPr>
        <w:t xml:space="preserve"> person</w:t>
      </w:r>
      <w:r w:rsidR="00F1323E" w:rsidRPr="00DC4F35">
        <w:rPr>
          <w:rFonts w:cstheme="minorHAnsi"/>
        </w:rPr>
        <w:t>oplysninger</w:t>
      </w:r>
      <w:r w:rsidR="0036440D" w:rsidRPr="00DC4F35">
        <w:rPr>
          <w:rFonts w:cstheme="minorHAnsi"/>
        </w:rPr>
        <w:t xml:space="preserve"> med henblik på, at Microsoft</w:t>
      </w:r>
      <w:r w:rsidR="005C3F34" w:rsidRPr="00DC4F35">
        <w:rPr>
          <w:rFonts w:cstheme="minorHAnsi"/>
        </w:rPr>
        <w:t xml:space="preserve"> Ireland</w:t>
      </w:r>
      <w:r w:rsidR="0036440D" w:rsidRPr="00DC4F35">
        <w:rPr>
          <w:rFonts w:cstheme="minorHAnsi"/>
        </w:rPr>
        <w:t xml:space="preserve"> kan gennemføre en række af Microsoft</w:t>
      </w:r>
      <w:r w:rsidR="005C3F34" w:rsidRPr="00DC4F35">
        <w:rPr>
          <w:rFonts w:cstheme="minorHAnsi"/>
        </w:rPr>
        <w:t xml:space="preserve"> Irelands</w:t>
      </w:r>
      <w:r w:rsidR="0036440D" w:rsidRPr="00DC4F35">
        <w:rPr>
          <w:rFonts w:cstheme="minorHAnsi"/>
        </w:rPr>
        <w:t xml:space="preserve"> egne forretningsaktiviteter</w:t>
      </w:r>
      <w:r w:rsidR="005C5B37" w:rsidRPr="00DC4F35">
        <w:rPr>
          <w:rFonts w:cstheme="minorHAnsi"/>
        </w:rPr>
        <w:t>, dvs. til Microsoft</w:t>
      </w:r>
      <w:r w:rsidR="005C3F34" w:rsidRPr="00DC4F35">
        <w:rPr>
          <w:rFonts w:cstheme="minorHAnsi"/>
        </w:rPr>
        <w:t xml:space="preserve"> Irelands</w:t>
      </w:r>
      <w:r w:rsidR="005C5B37" w:rsidRPr="00DC4F35">
        <w:rPr>
          <w:rFonts w:cstheme="minorHAnsi"/>
        </w:rPr>
        <w:t xml:space="preserve"> egne formål</w:t>
      </w:r>
      <w:r w:rsidR="0036440D" w:rsidRPr="00DC4F35">
        <w:rPr>
          <w:rFonts w:cstheme="minorHAnsi"/>
        </w:rPr>
        <w:t xml:space="preserve">. </w:t>
      </w:r>
      <w:r w:rsidR="006F00AE" w:rsidRPr="00DC4F35">
        <w:rPr>
          <w:rFonts w:cstheme="minorHAnsi"/>
        </w:rPr>
        <w:t xml:space="preserve">Følgende fremgår herom </w:t>
      </w:r>
      <w:r w:rsidR="0036440D" w:rsidRPr="00DC4F35">
        <w:rPr>
          <w:rFonts w:cstheme="minorHAnsi"/>
        </w:rPr>
        <w:t>af Microsoft</w:t>
      </w:r>
      <w:r w:rsidR="006F00AE" w:rsidRPr="00DC4F35">
        <w:rPr>
          <w:rFonts w:cstheme="minorHAnsi"/>
        </w:rPr>
        <w:t xml:space="preserve"> Irelands</w:t>
      </w:r>
      <w:r w:rsidR="0036440D" w:rsidRPr="00DC4F35">
        <w:rPr>
          <w:rFonts w:cstheme="minorHAnsi"/>
        </w:rPr>
        <w:t xml:space="preserve"> databehandleraftale</w:t>
      </w:r>
      <w:r w:rsidR="007A2075" w:rsidRPr="00DC4F35">
        <w:rPr>
          <w:rFonts w:cstheme="minorHAnsi"/>
        </w:rPr>
        <w:t>:</w:t>
      </w:r>
    </w:p>
    <w:p w14:paraId="1760CA79" w14:textId="77777777" w:rsidR="00BC2D9E" w:rsidRPr="00DC4F35" w:rsidRDefault="00BC2D9E" w:rsidP="00BC2D9E">
      <w:pPr>
        <w:rPr>
          <w:rFonts w:cstheme="minorHAnsi"/>
        </w:rPr>
      </w:pPr>
    </w:p>
    <w:p w14:paraId="7E399BE6" w14:textId="1025F87F" w:rsidR="00BC2D9E" w:rsidRPr="00DC4F35" w:rsidRDefault="00BC2D9E" w:rsidP="001D3798">
      <w:pPr>
        <w:ind w:left="1276"/>
        <w:rPr>
          <w:rFonts w:cstheme="minorHAnsi"/>
          <w:i/>
          <w:iCs/>
        </w:rPr>
      </w:pPr>
      <w:r w:rsidRPr="00DC4F35">
        <w:rPr>
          <w:rFonts w:cstheme="minorHAnsi"/>
          <w:i/>
          <w:iCs/>
        </w:rPr>
        <w:t xml:space="preserve">“Customer </w:t>
      </w:r>
      <w:proofErr w:type="spellStart"/>
      <w:r w:rsidRPr="00DC4F35">
        <w:rPr>
          <w:rFonts w:cstheme="minorHAnsi"/>
          <w:i/>
          <w:iCs/>
        </w:rPr>
        <w:t>authorizes</w:t>
      </w:r>
      <w:proofErr w:type="spellEnd"/>
      <w:r w:rsidRPr="00DC4F35">
        <w:rPr>
          <w:rFonts w:cstheme="minorHAnsi"/>
          <w:i/>
          <w:iCs/>
        </w:rPr>
        <w:t xml:space="preserve"> Microsoft:</w:t>
      </w:r>
    </w:p>
    <w:p w14:paraId="3CE11B6B" w14:textId="77777777" w:rsidR="00171A22" w:rsidRPr="00DC4F35" w:rsidRDefault="00171A22" w:rsidP="00FC7CF0">
      <w:pPr>
        <w:ind w:left="360"/>
        <w:rPr>
          <w:rFonts w:cstheme="minorHAnsi"/>
          <w:i/>
          <w:iCs/>
        </w:rPr>
      </w:pPr>
    </w:p>
    <w:p w14:paraId="031EB228" w14:textId="17A97ED9" w:rsidR="00BC2D9E" w:rsidRPr="001C19E7" w:rsidRDefault="00BC2D9E" w:rsidP="001D3798">
      <w:pPr>
        <w:pStyle w:val="Listeafsnit"/>
        <w:numPr>
          <w:ilvl w:val="0"/>
          <w:numId w:val="34"/>
        </w:numPr>
        <w:ind w:left="2127" w:hanging="426"/>
        <w:rPr>
          <w:rFonts w:cstheme="minorHAnsi"/>
          <w:i/>
          <w:iCs/>
          <w:lang w:val="en-US"/>
        </w:rPr>
      </w:pPr>
      <w:r w:rsidRPr="001C19E7">
        <w:rPr>
          <w:rFonts w:cstheme="minorHAnsi"/>
          <w:i/>
          <w:iCs/>
          <w:lang w:val="en-US"/>
        </w:rPr>
        <w:t>to create aggregated statistical, non-personal data from data containing pseudonymized identifiers (such as usage logs containing unique, pseudonymized identifiers); and</w:t>
      </w:r>
    </w:p>
    <w:p w14:paraId="4BA56419" w14:textId="149BA233" w:rsidR="00BC2D9E" w:rsidRPr="001C19E7" w:rsidRDefault="00BC2D9E" w:rsidP="001D3798">
      <w:pPr>
        <w:pStyle w:val="Listeafsnit"/>
        <w:numPr>
          <w:ilvl w:val="0"/>
          <w:numId w:val="34"/>
        </w:numPr>
        <w:ind w:left="2127" w:hanging="426"/>
        <w:rPr>
          <w:rFonts w:cstheme="minorHAnsi"/>
          <w:i/>
          <w:iCs/>
          <w:lang w:val="en-US"/>
        </w:rPr>
      </w:pPr>
      <w:r w:rsidRPr="001C19E7">
        <w:rPr>
          <w:rFonts w:cstheme="minorHAnsi"/>
          <w:i/>
          <w:iCs/>
          <w:lang w:val="en-US"/>
        </w:rPr>
        <w:t>to calculate statistics related to Customer Data or Professional Services Data</w:t>
      </w:r>
    </w:p>
    <w:p w14:paraId="0DCE77F3" w14:textId="77777777" w:rsidR="00BC2D9E" w:rsidRPr="001C19E7" w:rsidRDefault="00BC2D9E" w:rsidP="001D3798">
      <w:pPr>
        <w:ind w:left="2127" w:hanging="426"/>
        <w:rPr>
          <w:rFonts w:cstheme="minorHAnsi"/>
          <w:i/>
          <w:iCs/>
          <w:lang w:val="en-US"/>
        </w:rPr>
      </w:pPr>
    </w:p>
    <w:p w14:paraId="22FDFC70" w14:textId="418105F6" w:rsidR="00BC2D9E" w:rsidRPr="001C19E7" w:rsidRDefault="00BC2D9E" w:rsidP="001D3798">
      <w:pPr>
        <w:ind w:left="1276"/>
        <w:rPr>
          <w:rFonts w:cstheme="minorHAnsi"/>
          <w:i/>
          <w:iCs/>
          <w:lang w:val="en-US"/>
        </w:rPr>
      </w:pPr>
      <w:r w:rsidRPr="001C19E7">
        <w:rPr>
          <w:rFonts w:cstheme="minorHAnsi"/>
          <w:i/>
          <w:iCs/>
          <w:lang w:val="en-US"/>
        </w:rPr>
        <w:t>in each case without accessing or analyzing the content of Customer Data or Professional Services Data and limited to achieving the purposes below, each as incident to providing the Products and Services to Customer.</w:t>
      </w:r>
    </w:p>
    <w:p w14:paraId="57BB5F0E" w14:textId="77777777" w:rsidR="00BC2D9E" w:rsidRPr="001C19E7" w:rsidRDefault="00BC2D9E" w:rsidP="001D3798">
      <w:pPr>
        <w:ind w:left="1276"/>
        <w:rPr>
          <w:rFonts w:cstheme="minorHAnsi"/>
          <w:i/>
          <w:iCs/>
          <w:lang w:val="en-US"/>
        </w:rPr>
      </w:pPr>
    </w:p>
    <w:p w14:paraId="04CA07A5" w14:textId="77777777" w:rsidR="00BC2D9E" w:rsidRPr="00DC4F35" w:rsidRDefault="00BC2D9E" w:rsidP="001D3798">
      <w:pPr>
        <w:ind w:left="1276" w:firstLine="360"/>
        <w:rPr>
          <w:rFonts w:cstheme="minorHAnsi"/>
          <w:i/>
          <w:iCs/>
        </w:rPr>
      </w:pPr>
      <w:proofErr w:type="spellStart"/>
      <w:r w:rsidRPr="00DC4F35">
        <w:rPr>
          <w:rFonts w:cstheme="minorHAnsi"/>
          <w:i/>
          <w:iCs/>
        </w:rPr>
        <w:t>Those</w:t>
      </w:r>
      <w:proofErr w:type="spellEnd"/>
      <w:r w:rsidRPr="00DC4F35">
        <w:rPr>
          <w:rFonts w:cstheme="minorHAnsi"/>
          <w:i/>
          <w:iCs/>
        </w:rPr>
        <w:t xml:space="preserve"> purposes </w:t>
      </w:r>
      <w:proofErr w:type="spellStart"/>
      <w:r w:rsidRPr="00DC4F35">
        <w:rPr>
          <w:rFonts w:cstheme="minorHAnsi"/>
          <w:i/>
          <w:iCs/>
        </w:rPr>
        <w:t>are</w:t>
      </w:r>
      <w:proofErr w:type="spellEnd"/>
      <w:r w:rsidRPr="00DC4F35">
        <w:rPr>
          <w:rFonts w:cstheme="minorHAnsi"/>
          <w:i/>
          <w:iCs/>
        </w:rPr>
        <w:t>:</w:t>
      </w:r>
    </w:p>
    <w:p w14:paraId="2135A878" w14:textId="77777777" w:rsidR="00171A22" w:rsidRPr="00DC4F35" w:rsidRDefault="00171A22" w:rsidP="001D3798">
      <w:pPr>
        <w:ind w:left="1276"/>
        <w:rPr>
          <w:rFonts w:cstheme="minorHAnsi"/>
          <w:i/>
          <w:iCs/>
        </w:rPr>
      </w:pPr>
    </w:p>
    <w:p w14:paraId="5593E5D5" w14:textId="27F595F7" w:rsidR="00BC2D9E" w:rsidRPr="00DC4F35" w:rsidRDefault="00BC2D9E" w:rsidP="001D3798">
      <w:pPr>
        <w:pStyle w:val="Listeafsnit"/>
        <w:numPr>
          <w:ilvl w:val="0"/>
          <w:numId w:val="35"/>
        </w:numPr>
        <w:ind w:left="1276"/>
        <w:rPr>
          <w:rFonts w:cstheme="minorHAnsi"/>
          <w:i/>
          <w:iCs/>
        </w:rPr>
      </w:pPr>
      <w:proofErr w:type="spellStart"/>
      <w:r w:rsidRPr="00DC4F35">
        <w:rPr>
          <w:rFonts w:cstheme="minorHAnsi"/>
          <w:i/>
          <w:iCs/>
        </w:rPr>
        <w:t>billing</w:t>
      </w:r>
      <w:proofErr w:type="spellEnd"/>
      <w:r w:rsidRPr="00DC4F35">
        <w:rPr>
          <w:rFonts w:cstheme="minorHAnsi"/>
          <w:i/>
          <w:iCs/>
        </w:rPr>
        <w:t xml:space="preserve"> and </w:t>
      </w:r>
      <w:proofErr w:type="spellStart"/>
      <w:r w:rsidRPr="00DC4F35">
        <w:rPr>
          <w:rFonts w:cstheme="minorHAnsi"/>
          <w:i/>
          <w:iCs/>
        </w:rPr>
        <w:t>account</w:t>
      </w:r>
      <w:proofErr w:type="spellEnd"/>
      <w:r w:rsidRPr="00DC4F35">
        <w:rPr>
          <w:rFonts w:cstheme="minorHAnsi"/>
          <w:i/>
          <w:iCs/>
        </w:rPr>
        <w:t xml:space="preserve"> management; </w:t>
      </w:r>
    </w:p>
    <w:p w14:paraId="25E5129E" w14:textId="2344FC46" w:rsidR="00BC2D9E" w:rsidRPr="001C19E7" w:rsidRDefault="00BC2D9E" w:rsidP="001D3798">
      <w:pPr>
        <w:pStyle w:val="Listeafsnit"/>
        <w:numPr>
          <w:ilvl w:val="0"/>
          <w:numId w:val="35"/>
        </w:numPr>
        <w:ind w:left="1276"/>
        <w:rPr>
          <w:rFonts w:cstheme="minorHAnsi"/>
          <w:i/>
          <w:iCs/>
          <w:lang w:val="en-US"/>
        </w:rPr>
      </w:pPr>
      <w:r w:rsidRPr="001C19E7">
        <w:rPr>
          <w:rFonts w:cstheme="minorHAnsi"/>
          <w:i/>
          <w:iCs/>
          <w:lang w:val="en-US"/>
        </w:rPr>
        <w:t xml:space="preserve">compensation such as calculating employee commissions and partner incentives; </w:t>
      </w:r>
    </w:p>
    <w:p w14:paraId="60080300" w14:textId="58E42F1D" w:rsidR="00BC2D9E" w:rsidRPr="001C19E7" w:rsidRDefault="00BC2D9E" w:rsidP="001D3798">
      <w:pPr>
        <w:pStyle w:val="Listeafsnit"/>
        <w:numPr>
          <w:ilvl w:val="0"/>
          <w:numId w:val="35"/>
        </w:numPr>
        <w:ind w:left="1276"/>
        <w:rPr>
          <w:rFonts w:cstheme="minorHAnsi"/>
          <w:i/>
          <w:iCs/>
          <w:lang w:val="en-US"/>
        </w:rPr>
      </w:pPr>
      <w:r w:rsidRPr="001C19E7">
        <w:rPr>
          <w:rFonts w:cstheme="minorHAnsi"/>
          <w:i/>
          <w:iCs/>
          <w:lang w:val="en-US"/>
        </w:rPr>
        <w:t xml:space="preserve">internal reporting and business modeling, such as forecasting, revenue, capacity planning, and product strategy; and </w:t>
      </w:r>
    </w:p>
    <w:p w14:paraId="2E67FB68" w14:textId="24F45232" w:rsidR="00BC2D9E" w:rsidRPr="00DC4F35" w:rsidRDefault="00BC2D9E" w:rsidP="001D3798">
      <w:pPr>
        <w:pStyle w:val="Listeafsnit"/>
        <w:numPr>
          <w:ilvl w:val="0"/>
          <w:numId w:val="35"/>
        </w:numPr>
        <w:ind w:left="1276"/>
        <w:rPr>
          <w:rFonts w:cstheme="minorHAnsi"/>
          <w:i/>
          <w:iCs/>
        </w:rPr>
      </w:pPr>
      <w:proofErr w:type="spellStart"/>
      <w:r w:rsidRPr="00DC4F35">
        <w:rPr>
          <w:rFonts w:cstheme="minorHAnsi"/>
          <w:i/>
          <w:iCs/>
        </w:rPr>
        <w:t>financial</w:t>
      </w:r>
      <w:proofErr w:type="spellEnd"/>
      <w:r w:rsidRPr="00DC4F35">
        <w:rPr>
          <w:rFonts w:cstheme="minorHAnsi"/>
          <w:i/>
          <w:iCs/>
        </w:rPr>
        <w:t xml:space="preserve"> </w:t>
      </w:r>
      <w:proofErr w:type="spellStart"/>
      <w:r w:rsidRPr="00DC4F35">
        <w:rPr>
          <w:rFonts w:cstheme="minorHAnsi"/>
          <w:i/>
          <w:iCs/>
        </w:rPr>
        <w:t>reporting</w:t>
      </w:r>
      <w:proofErr w:type="spellEnd"/>
      <w:r w:rsidRPr="00DC4F35">
        <w:rPr>
          <w:rFonts w:cstheme="minorHAnsi"/>
          <w:i/>
          <w:iCs/>
        </w:rPr>
        <w:t>.</w:t>
      </w:r>
    </w:p>
    <w:p w14:paraId="6D7681D5" w14:textId="77777777" w:rsidR="004B12E4" w:rsidRPr="00DC4F35" w:rsidRDefault="004B12E4" w:rsidP="001D3798">
      <w:pPr>
        <w:pStyle w:val="Listeafsnit"/>
        <w:ind w:left="1276"/>
        <w:rPr>
          <w:rFonts w:cstheme="minorHAnsi"/>
          <w:i/>
          <w:iCs/>
        </w:rPr>
      </w:pPr>
    </w:p>
    <w:p w14:paraId="4BEEBC84" w14:textId="28D69A71" w:rsidR="00BC2D9E" w:rsidRPr="001C19E7" w:rsidRDefault="00BC2D9E" w:rsidP="001D3798">
      <w:pPr>
        <w:ind w:left="1276"/>
        <w:rPr>
          <w:rFonts w:cstheme="minorHAnsi"/>
          <w:lang w:val="en-US"/>
        </w:rPr>
      </w:pPr>
      <w:r w:rsidRPr="001C19E7">
        <w:rPr>
          <w:rFonts w:cstheme="minorHAnsi"/>
          <w:i/>
          <w:iCs/>
          <w:lang w:val="en-US"/>
        </w:rPr>
        <w:t>When processing for these business operations, Microsoft will apply principles of data minimization and will not use or otherwise process Customer Data, Professional Services Data, or Personal Data for: (a) user profiling, (b) advertising or similar commercial purposes, or (c) any other purpose, other than for the purposes set out in this section. In addition, as with all processing under this DPA, processing for business operations remains subject to Microsoft’s confidentiality obligations and commitments under Disclosure of Processed Data.”</w:t>
      </w:r>
    </w:p>
    <w:p w14:paraId="27779349" w14:textId="77777777" w:rsidR="0036440D" w:rsidRPr="001C19E7" w:rsidRDefault="0036440D" w:rsidP="001D3798">
      <w:pPr>
        <w:ind w:left="1276"/>
        <w:rPr>
          <w:lang w:val="en-US"/>
        </w:rPr>
      </w:pPr>
    </w:p>
    <w:p w14:paraId="70325EFC" w14:textId="088CD485" w:rsidR="007A210C" w:rsidRPr="00DC4F35" w:rsidRDefault="00025E26" w:rsidP="007A210C">
      <w:r w:rsidRPr="001C19E7">
        <w:rPr>
          <w:lang w:val="en-US"/>
        </w:rPr>
        <w:t xml:space="preserve">Microsoft </w:t>
      </w:r>
      <w:r w:rsidR="007A2075" w:rsidRPr="001C19E7">
        <w:rPr>
          <w:lang w:val="en-US"/>
        </w:rPr>
        <w:t xml:space="preserve">Ireland </w:t>
      </w:r>
      <w:proofErr w:type="spellStart"/>
      <w:r w:rsidRPr="001C19E7">
        <w:rPr>
          <w:lang w:val="en-US"/>
        </w:rPr>
        <w:t>har</w:t>
      </w:r>
      <w:proofErr w:type="spellEnd"/>
      <w:r w:rsidRPr="001C19E7">
        <w:rPr>
          <w:lang w:val="en-US"/>
        </w:rPr>
        <w:t xml:space="preserve"> </w:t>
      </w:r>
      <w:proofErr w:type="spellStart"/>
      <w:r w:rsidRPr="001C19E7">
        <w:rPr>
          <w:lang w:val="en-US"/>
        </w:rPr>
        <w:t>i</w:t>
      </w:r>
      <w:proofErr w:type="spellEnd"/>
      <w:r w:rsidRPr="001C19E7">
        <w:rPr>
          <w:lang w:val="en-US"/>
        </w:rPr>
        <w:t xml:space="preserve"> marts 2023 </w:t>
      </w:r>
      <w:proofErr w:type="spellStart"/>
      <w:r w:rsidRPr="001C19E7">
        <w:rPr>
          <w:lang w:val="en-US"/>
        </w:rPr>
        <w:t>udgivet</w:t>
      </w:r>
      <w:proofErr w:type="spellEnd"/>
      <w:r w:rsidRPr="001C19E7">
        <w:rPr>
          <w:lang w:val="en-US"/>
        </w:rPr>
        <w:t xml:space="preserve"> </w:t>
      </w:r>
      <w:proofErr w:type="spellStart"/>
      <w:r w:rsidRPr="001C19E7">
        <w:rPr>
          <w:lang w:val="en-US"/>
        </w:rPr>
        <w:t>dokumentet</w:t>
      </w:r>
      <w:proofErr w:type="spellEnd"/>
      <w:r w:rsidRPr="001C19E7">
        <w:rPr>
          <w:lang w:val="en-US"/>
        </w:rPr>
        <w:t xml:space="preserve"> ”</w:t>
      </w:r>
      <w:r w:rsidRPr="001C19E7">
        <w:rPr>
          <w:i/>
          <w:iCs/>
          <w:lang w:val="en-US"/>
        </w:rPr>
        <w:t>Microsoft data protection and security terms for products and services: Business operations</w:t>
      </w:r>
      <w:r w:rsidRPr="001C19E7">
        <w:rPr>
          <w:lang w:val="en-US"/>
        </w:rPr>
        <w:t>” (</w:t>
      </w:r>
      <w:proofErr w:type="spellStart"/>
      <w:r w:rsidRPr="001C19E7">
        <w:rPr>
          <w:lang w:val="en-US"/>
        </w:rPr>
        <w:t>herefter</w:t>
      </w:r>
      <w:proofErr w:type="spellEnd"/>
      <w:r w:rsidRPr="001C19E7">
        <w:rPr>
          <w:lang w:val="en-US"/>
        </w:rPr>
        <w:t xml:space="preserve"> </w:t>
      </w:r>
      <w:proofErr w:type="spellStart"/>
      <w:r w:rsidRPr="001C19E7">
        <w:rPr>
          <w:lang w:val="en-US"/>
        </w:rPr>
        <w:t>benævnt</w:t>
      </w:r>
      <w:proofErr w:type="spellEnd"/>
      <w:r w:rsidRPr="001C19E7">
        <w:rPr>
          <w:lang w:val="en-US"/>
        </w:rPr>
        <w:t xml:space="preserve"> ”</w:t>
      </w:r>
      <w:proofErr w:type="spellStart"/>
      <w:r w:rsidRPr="001C19E7">
        <w:rPr>
          <w:lang w:val="en-US"/>
        </w:rPr>
        <w:t>Microsofts</w:t>
      </w:r>
      <w:proofErr w:type="spellEnd"/>
      <w:r w:rsidRPr="001C19E7">
        <w:rPr>
          <w:lang w:val="en-US"/>
        </w:rPr>
        <w:t xml:space="preserve"> business operations white paper”) og </w:t>
      </w:r>
      <w:proofErr w:type="spellStart"/>
      <w:r w:rsidR="008A0E04" w:rsidRPr="001C19E7">
        <w:rPr>
          <w:lang w:val="en-US"/>
        </w:rPr>
        <w:t>udgivet</w:t>
      </w:r>
      <w:proofErr w:type="spellEnd"/>
      <w:r w:rsidR="008A0E04" w:rsidRPr="001C19E7">
        <w:rPr>
          <w:lang w:val="en-US"/>
        </w:rPr>
        <w:t xml:space="preserve"> </w:t>
      </w:r>
      <w:proofErr w:type="spellStart"/>
      <w:r w:rsidRPr="001C19E7">
        <w:rPr>
          <w:lang w:val="en-US"/>
        </w:rPr>
        <w:t>dokumentet</w:t>
      </w:r>
      <w:proofErr w:type="spellEnd"/>
      <w:r w:rsidRPr="001C19E7">
        <w:rPr>
          <w:lang w:val="en-US"/>
        </w:rPr>
        <w:t xml:space="preserve"> </w:t>
      </w:r>
      <w:r w:rsidRPr="001C19E7">
        <w:rPr>
          <w:i/>
          <w:iCs/>
          <w:lang w:val="en-US"/>
        </w:rPr>
        <w:t>”System-generated logs in the Microsoft cloud – Purposes, types, customer access and privacy by design/default</w:t>
      </w:r>
      <w:r w:rsidRPr="001C19E7">
        <w:rPr>
          <w:lang w:val="en-US"/>
        </w:rPr>
        <w:t>” (</w:t>
      </w:r>
      <w:proofErr w:type="spellStart"/>
      <w:r w:rsidRPr="001C19E7">
        <w:rPr>
          <w:lang w:val="en-US"/>
        </w:rPr>
        <w:t>herefter</w:t>
      </w:r>
      <w:proofErr w:type="spellEnd"/>
      <w:r w:rsidRPr="001C19E7">
        <w:rPr>
          <w:lang w:val="en-US"/>
        </w:rPr>
        <w:t xml:space="preserve"> </w:t>
      </w:r>
      <w:proofErr w:type="spellStart"/>
      <w:r w:rsidRPr="001C19E7">
        <w:rPr>
          <w:lang w:val="en-US"/>
        </w:rPr>
        <w:t>benævnt</w:t>
      </w:r>
      <w:proofErr w:type="spellEnd"/>
      <w:r w:rsidRPr="001C19E7">
        <w:rPr>
          <w:lang w:val="en-US"/>
        </w:rPr>
        <w:t xml:space="preserve"> ”</w:t>
      </w:r>
      <w:proofErr w:type="spellStart"/>
      <w:r w:rsidRPr="001C19E7">
        <w:rPr>
          <w:lang w:val="en-US"/>
        </w:rPr>
        <w:t>Microsofts</w:t>
      </w:r>
      <w:proofErr w:type="spellEnd"/>
      <w:r w:rsidRPr="001C19E7">
        <w:rPr>
          <w:lang w:val="en-US"/>
        </w:rPr>
        <w:t xml:space="preserve"> business operations white paper vol. 2”), </w:t>
      </w:r>
      <w:proofErr w:type="spellStart"/>
      <w:r w:rsidRPr="001C19E7">
        <w:rPr>
          <w:lang w:val="en-US"/>
        </w:rPr>
        <w:t>som</w:t>
      </w:r>
      <w:proofErr w:type="spellEnd"/>
      <w:r w:rsidRPr="001C19E7">
        <w:rPr>
          <w:lang w:val="en-US"/>
        </w:rPr>
        <w:t xml:space="preserve"> </w:t>
      </w:r>
      <w:proofErr w:type="spellStart"/>
      <w:r w:rsidRPr="001C19E7">
        <w:rPr>
          <w:lang w:val="en-US"/>
        </w:rPr>
        <w:t>nærmere</w:t>
      </w:r>
      <w:proofErr w:type="spellEnd"/>
      <w:r w:rsidRPr="001C19E7">
        <w:rPr>
          <w:lang w:val="en-US"/>
        </w:rPr>
        <w:t xml:space="preserve"> </w:t>
      </w:r>
      <w:proofErr w:type="spellStart"/>
      <w:r w:rsidRPr="001C19E7">
        <w:rPr>
          <w:lang w:val="en-US"/>
        </w:rPr>
        <w:t>beskriver</w:t>
      </w:r>
      <w:proofErr w:type="spellEnd"/>
      <w:r w:rsidRPr="001C19E7">
        <w:rPr>
          <w:lang w:val="en-US"/>
        </w:rPr>
        <w:t xml:space="preserve"> </w:t>
      </w:r>
      <w:proofErr w:type="spellStart"/>
      <w:r w:rsidRPr="001C19E7">
        <w:rPr>
          <w:lang w:val="en-US"/>
        </w:rPr>
        <w:t>behandlingen</w:t>
      </w:r>
      <w:proofErr w:type="spellEnd"/>
      <w:r w:rsidRPr="001C19E7">
        <w:rPr>
          <w:lang w:val="en-US"/>
        </w:rPr>
        <w:t xml:space="preserve"> </w:t>
      </w:r>
      <w:proofErr w:type="spellStart"/>
      <w:r w:rsidRPr="001C19E7">
        <w:rPr>
          <w:lang w:val="en-US"/>
        </w:rPr>
        <w:t>af</w:t>
      </w:r>
      <w:proofErr w:type="spellEnd"/>
      <w:r w:rsidRPr="001C19E7">
        <w:rPr>
          <w:lang w:val="en-US"/>
        </w:rPr>
        <w:t xml:space="preserve"> </w:t>
      </w:r>
      <w:proofErr w:type="spellStart"/>
      <w:r w:rsidRPr="001C19E7">
        <w:rPr>
          <w:lang w:val="en-US"/>
        </w:rPr>
        <w:t>personoplysninger</w:t>
      </w:r>
      <w:proofErr w:type="spellEnd"/>
      <w:r w:rsidRPr="001C19E7">
        <w:rPr>
          <w:lang w:val="en-US"/>
        </w:rPr>
        <w:t xml:space="preserve"> </w:t>
      </w:r>
      <w:proofErr w:type="spellStart"/>
      <w:r w:rsidRPr="001C19E7">
        <w:rPr>
          <w:lang w:val="en-US"/>
        </w:rPr>
        <w:t>i</w:t>
      </w:r>
      <w:proofErr w:type="spellEnd"/>
      <w:r w:rsidRPr="001C19E7">
        <w:rPr>
          <w:lang w:val="en-US"/>
        </w:rPr>
        <w:t xml:space="preserve"> </w:t>
      </w:r>
      <w:proofErr w:type="spellStart"/>
      <w:r w:rsidRPr="001C19E7">
        <w:rPr>
          <w:lang w:val="en-US"/>
        </w:rPr>
        <w:t>forbindelse</w:t>
      </w:r>
      <w:proofErr w:type="spellEnd"/>
      <w:r w:rsidRPr="001C19E7">
        <w:rPr>
          <w:lang w:val="en-US"/>
        </w:rPr>
        <w:t xml:space="preserve"> med business operations. </w:t>
      </w:r>
      <w:r w:rsidR="007A210C" w:rsidRPr="00DC4F35">
        <w:t>Statens It</w:t>
      </w:r>
      <w:r w:rsidRPr="00DC4F35">
        <w:t xml:space="preserve"> og Ø</w:t>
      </w:r>
      <w:r w:rsidR="007A210C" w:rsidRPr="00DC4F35">
        <w:t xml:space="preserve">konomistyrelsen </w:t>
      </w:r>
      <w:r w:rsidRPr="00DC4F35">
        <w:t xml:space="preserve">kan heraf udlede, at de personoplysninger, der anvendes </w:t>
      </w:r>
      <w:r w:rsidR="008A0E04" w:rsidRPr="00DC4F35">
        <w:t>til</w:t>
      </w:r>
      <w:r w:rsidRPr="00DC4F35">
        <w:t xml:space="preserve"> forretningsaktiviteter, er aggregerede data outputs og statistikker afhængig af det specifikke forretningsformål</w:t>
      </w:r>
      <w:r w:rsidR="007C16C9" w:rsidRPr="00DC4F35">
        <w:t>, dvs. anonyme data</w:t>
      </w:r>
      <w:r w:rsidRPr="00DC4F35">
        <w:t xml:space="preserve">. Disse outputs indeholder </w:t>
      </w:r>
      <w:r w:rsidR="007C16C9" w:rsidRPr="00DC4F35">
        <w:t xml:space="preserve">med andre ord </w:t>
      </w:r>
      <w:r w:rsidRPr="00DC4F35">
        <w:t xml:space="preserve">ikke personoplysninger, heller ikke i </w:t>
      </w:r>
      <w:proofErr w:type="spellStart"/>
      <w:r w:rsidRPr="00DC4F35">
        <w:t>pseudony</w:t>
      </w:r>
      <w:r w:rsidRPr="00DC4F35">
        <w:lastRenderedPageBreak/>
        <w:t>miseret</w:t>
      </w:r>
      <w:proofErr w:type="spellEnd"/>
      <w:r w:rsidRPr="00DC4F35">
        <w:t xml:space="preserve"> form, og er blevet kombineret med data fra tilstrækkeligt mange dataemner, så individuelle attributter ikke længere kan henføres til en bestemt identificerbar fysisk person</w:t>
      </w:r>
      <w:r w:rsidR="00555DE9" w:rsidRPr="00DC4F35">
        <w:t xml:space="preserve"> (anonyme data)</w:t>
      </w:r>
      <w:r w:rsidRPr="00DC4F35">
        <w:t>.</w:t>
      </w:r>
      <w:r w:rsidRPr="00DC4F35">
        <w:rPr>
          <w:vertAlign w:val="superscript"/>
        </w:rPr>
        <w:footnoteReference w:id="19"/>
      </w:r>
      <w:r w:rsidRPr="00DC4F35">
        <w:t xml:space="preserve"> Hvilket niveau data aggregeres på, afhænger som </w:t>
      </w:r>
      <w:r w:rsidR="00454A8A" w:rsidRPr="00DC4F35">
        <w:t xml:space="preserve">netop </w:t>
      </w:r>
      <w:r w:rsidRPr="00DC4F35">
        <w:t>nævnt af formålet med behandlingen, dvs. den konkrete forretningsaktivitet (fakturering, herunder licenspartner, vurdering af brugers anvendelse af funktioner, regnskabsaflæggelse mv.</w:t>
      </w:r>
      <w:r w:rsidR="00454A8A" w:rsidRPr="00DC4F35">
        <w:t xml:space="preserve"> som beskrevet</w:t>
      </w:r>
      <w:r w:rsidR="008E2BE1" w:rsidRPr="00DC4F35">
        <w:t xml:space="preserve"> netop ovenfor</w:t>
      </w:r>
      <w:r w:rsidRPr="00DC4F35">
        <w:t>), og den kunde, som behandlingen angår</w:t>
      </w:r>
      <w:r w:rsidR="007A210C" w:rsidRPr="00DC4F35">
        <w:t>.</w:t>
      </w:r>
      <w:r w:rsidRPr="00DC4F35">
        <w:rPr>
          <w:vertAlign w:val="superscript"/>
        </w:rPr>
        <w:footnoteReference w:id="20"/>
      </w:r>
      <w:r w:rsidRPr="00DC4F35">
        <w:t xml:space="preserve"> </w:t>
      </w:r>
      <w:r w:rsidR="007A210C" w:rsidRPr="00DC4F35">
        <w:t>Microsoft anmoder, indsamler eller genererer ikke data indeholdende personoplysninger udelukkende med business operations for øje</w:t>
      </w:r>
      <w:r w:rsidR="007A210C" w:rsidRPr="00DC4F35">
        <w:rPr>
          <w:vertAlign w:val="superscript"/>
        </w:rPr>
        <w:footnoteReference w:id="21"/>
      </w:r>
      <w:r w:rsidR="007A210C" w:rsidRPr="00DC4F35">
        <w:t xml:space="preserve">. </w:t>
      </w:r>
    </w:p>
    <w:p w14:paraId="7A9133C0" w14:textId="77777777" w:rsidR="00025E26" w:rsidRPr="00DC4F35" w:rsidRDefault="00025E26" w:rsidP="00025E26"/>
    <w:p w14:paraId="2F7B4217" w14:textId="77777777" w:rsidR="00025E26" w:rsidRPr="00DC4F35" w:rsidRDefault="00025E26" w:rsidP="00025E26">
      <w:r w:rsidRPr="00DC4F35">
        <w:t xml:space="preserve">Microsoft har illustreret processen på følgende måde: </w:t>
      </w:r>
    </w:p>
    <w:p w14:paraId="26A33137" w14:textId="77777777" w:rsidR="00025E26" w:rsidRPr="00DC4F35" w:rsidRDefault="00025E26" w:rsidP="00025E26"/>
    <w:p w14:paraId="1994E838" w14:textId="4A5AB82A" w:rsidR="00832C59" w:rsidRPr="001C19E7" w:rsidRDefault="00832C59" w:rsidP="00025E26">
      <w:pPr>
        <w:rPr>
          <w:i/>
          <w:iCs/>
          <w:lang w:val="en-US"/>
        </w:rPr>
      </w:pPr>
      <w:proofErr w:type="spellStart"/>
      <w:r w:rsidRPr="001C19E7">
        <w:rPr>
          <w:i/>
          <w:iCs/>
          <w:lang w:val="en-US"/>
        </w:rPr>
        <w:t>Figur</w:t>
      </w:r>
      <w:proofErr w:type="spellEnd"/>
      <w:r w:rsidRPr="001C19E7">
        <w:rPr>
          <w:i/>
          <w:iCs/>
          <w:lang w:val="en-US"/>
        </w:rPr>
        <w:t xml:space="preserve"> 3. Data Flows – Business Operations schematic overview</w:t>
      </w:r>
    </w:p>
    <w:p w14:paraId="5DA3E20C" w14:textId="77777777" w:rsidR="00025E26" w:rsidRPr="00DC4F35" w:rsidRDefault="00025E26" w:rsidP="00025E26">
      <w:r w:rsidRPr="00DC4F35">
        <w:rPr>
          <w:noProof/>
          <w:lang w:eastAsia="da-DK"/>
        </w:rPr>
        <w:drawing>
          <wp:inline distT="0" distB="0" distL="0" distR="0" wp14:anchorId="42337B7E" wp14:editId="63FF1CFA">
            <wp:extent cx="5361709" cy="2700326"/>
            <wp:effectExtent l="0" t="0" r="0" b="5080"/>
            <wp:docPr id="1140692326" name="Billede 1" descr="Et billede, der indeholder tekst, skærmbillede, Font/skrifttype, Brand&#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692326" name="Billede 1" descr="Et billede, der indeholder tekst, skærmbillede, Font/skrifttype, Brand&#10;&#10;Automatisk genereret beskrivelse"/>
                    <pic:cNvPicPr/>
                  </pic:nvPicPr>
                  <pic:blipFill>
                    <a:blip r:embed="rId13"/>
                    <a:stretch>
                      <a:fillRect/>
                    </a:stretch>
                  </pic:blipFill>
                  <pic:spPr>
                    <a:xfrm>
                      <a:off x="0" y="0"/>
                      <a:ext cx="5405984" cy="2722625"/>
                    </a:xfrm>
                    <a:prstGeom prst="rect">
                      <a:avLst/>
                    </a:prstGeom>
                  </pic:spPr>
                </pic:pic>
              </a:graphicData>
            </a:graphic>
          </wp:inline>
        </w:drawing>
      </w:r>
    </w:p>
    <w:p w14:paraId="7323C2BE" w14:textId="77777777" w:rsidR="00025E26" w:rsidRPr="00DC4F35" w:rsidRDefault="00025E26" w:rsidP="00025E26"/>
    <w:p w14:paraId="19542316" w14:textId="570C396F" w:rsidR="006622CD" w:rsidRPr="001C19E7" w:rsidRDefault="00025E26" w:rsidP="0036440D">
      <w:pPr>
        <w:rPr>
          <w:lang w:val="en-US"/>
        </w:rPr>
      </w:pPr>
      <w:r w:rsidRPr="00DC4F35">
        <w:t xml:space="preserve">Til brug for nærværende TIA har Microsoft </w:t>
      </w:r>
      <w:r w:rsidR="007A210C" w:rsidRPr="00DC4F35">
        <w:t xml:space="preserve">Ireland </w:t>
      </w:r>
      <w:r w:rsidRPr="00DC4F35">
        <w:t xml:space="preserve">desuden </w:t>
      </w:r>
      <w:r w:rsidR="0058198B" w:rsidRPr="00DC4F35">
        <w:t xml:space="preserve">oplyst til </w:t>
      </w:r>
      <w:r w:rsidR="007A210C" w:rsidRPr="00DC4F35">
        <w:t>Statens It</w:t>
      </w:r>
      <w:r w:rsidR="0058198B" w:rsidRPr="00DC4F35">
        <w:t xml:space="preserve"> og Ø</w:t>
      </w:r>
      <w:r w:rsidR="007A210C" w:rsidRPr="00DC4F35">
        <w:t>konomistyrelsen</w:t>
      </w:r>
      <w:r w:rsidRPr="00DC4F35">
        <w:t xml:space="preserve">, at </w:t>
      </w:r>
      <w:r w:rsidR="00E83CD2" w:rsidRPr="00DC4F35">
        <w:t>personoplysninger aggregeres til et niveau</w:t>
      </w:r>
      <w:r w:rsidR="00AA0441" w:rsidRPr="00DC4F35">
        <w:t>,</w:t>
      </w:r>
      <w:r w:rsidR="00E83CD2" w:rsidRPr="00DC4F35">
        <w:t xml:space="preserve"> hvor de er anonymiseret</w:t>
      </w:r>
      <w:r w:rsidR="002F7EBC" w:rsidRPr="00DC4F35">
        <w:t>,</w:t>
      </w:r>
      <w:r w:rsidR="00E83CD2" w:rsidRPr="00DC4F35">
        <w:t xml:space="preserve"> samt at </w:t>
      </w:r>
      <w:r w:rsidRPr="00DC4F35">
        <w:t>aggregeringen sker inden</w:t>
      </w:r>
      <w:r w:rsidR="002F7EBC" w:rsidRPr="00DC4F35">
        <w:t xml:space="preserve"> </w:t>
      </w:r>
      <w:r w:rsidRPr="00DC4F35">
        <w:t xml:space="preserve">for EU Data </w:t>
      </w:r>
      <w:proofErr w:type="spellStart"/>
      <w:r w:rsidRPr="00DC4F35">
        <w:t>Boundary</w:t>
      </w:r>
      <w:proofErr w:type="spellEnd"/>
      <w:r w:rsidRPr="00DC4F35">
        <w:t xml:space="preserve"> og således inden, at de </w:t>
      </w:r>
      <w:r w:rsidR="00FC1D35" w:rsidRPr="00DC4F35">
        <w:t>nu anonymiserede</w:t>
      </w:r>
      <w:r w:rsidRPr="00DC4F35">
        <w:t xml:space="preserve"> data overføres til USA med henblik på</w:t>
      </w:r>
      <w:r w:rsidR="00FC1D35" w:rsidRPr="00DC4F35">
        <w:t xml:space="preserve"> behandlingen til Microsofts egne forretningsmæssige formål (business operations)</w:t>
      </w:r>
      <w:r w:rsidRPr="00DC4F35">
        <w:t xml:space="preserve"> forretningsaktiviteterne. </w:t>
      </w:r>
      <w:r w:rsidR="006622CD" w:rsidRPr="001C19E7">
        <w:rPr>
          <w:lang w:val="en-US"/>
        </w:rPr>
        <w:t>Microsoft</w:t>
      </w:r>
      <w:r w:rsidR="00FC1D35" w:rsidRPr="001C19E7">
        <w:rPr>
          <w:lang w:val="en-US"/>
        </w:rPr>
        <w:t xml:space="preserve"> Ireland</w:t>
      </w:r>
      <w:r w:rsidR="006622CD" w:rsidRPr="001C19E7">
        <w:rPr>
          <w:lang w:val="en-US"/>
        </w:rPr>
        <w:t xml:space="preserve"> </w:t>
      </w:r>
      <w:proofErr w:type="spellStart"/>
      <w:r w:rsidR="006622CD" w:rsidRPr="001C19E7">
        <w:rPr>
          <w:lang w:val="en-US"/>
        </w:rPr>
        <w:t>har</w:t>
      </w:r>
      <w:proofErr w:type="spellEnd"/>
      <w:r w:rsidR="006622CD" w:rsidRPr="001C19E7">
        <w:rPr>
          <w:lang w:val="en-US"/>
        </w:rPr>
        <w:t xml:space="preserve"> </w:t>
      </w:r>
      <w:proofErr w:type="spellStart"/>
      <w:r w:rsidR="006622CD" w:rsidRPr="001C19E7">
        <w:rPr>
          <w:lang w:val="en-US"/>
        </w:rPr>
        <w:t>bl.a</w:t>
      </w:r>
      <w:proofErr w:type="spellEnd"/>
      <w:r w:rsidR="006622CD" w:rsidRPr="001C19E7">
        <w:rPr>
          <w:lang w:val="en-US"/>
        </w:rPr>
        <w:t xml:space="preserve">. </w:t>
      </w:r>
      <w:proofErr w:type="spellStart"/>
      <w:r w:rsidR="006622CD" w:rsidRPr="001C19E7">
        <w:rPr>
          <w:lang w:val="en-US"/>
        </w:rPr>
        <w:t>anført</w:t>
      </w:r>
      <w:proofErr w:type="spellEnd"/>
      <w:r w:rsidR="00AA0441" w:rsidRPr="001C19E7">
        <w:rPr>
          <w:lang w:val="en-US"/>
        </w:rPr>
        <w:t xml:space="preserve"> </w:t>
      </w:r>
      <w:proofErr w:type="spellStart"/>
      <w:r w:rsidR="00AA0441" w:rsidRPr="001C19E7">
        <w:rPr>
          <w:lang w:val="en-US"/>
        </w:rPr>
        <w:t>følgende</w:t>
      </w:r>
      <w:proofErr w:type="spellEnd"/>
      <w:r w:rsidR="00AA0441" w:rsidRPr="001C19E7">
        <w:rPr>
          <w:lang w:val="en-US"/>
        </w:rPr>
        <w:t>:</w:t>
      </w:r>
      <w:r w:rsidR="006622CD" w:rsidRPr="001C19E7">
        <w:rPr>
          <w:lang w:val="en-US"/>
        </w:rPr>
        <w:t xml:space="preserve"> </w:t>
      </w:r>
    </w:p>
    <w:p w14:paraId="7152415C" w14:textId="77777777" w:rsidR="006622CD" w:rsidRPr="001C19E7" w:rsidRDefault="006622CD" w:rsidP="0036440D">
      <w:pPr>
        <w:rPr>
          <w:lang w:val="en-US"/>
        </w:rPr>
      </w:pPr>
    </w:p>
    <w:p w14:paraId="21560DB8" w14:textId="324C715A" w:rsidR="006622CD" w:rsidRPr="001C19E7" w:rsidRDefault="006622CD" w:rsidP="006622CD">
      <w:pPr>
        <w:ind w:left="1304"/>
        <w:rPr>
          <w:i/>
          <w:iCs/>
          <w:lang w:val="en-US"/>
        </w:rPr>
      </w:pPr>
      <w:r w:rsidRPr="001C19E7">
        <w:rPr>
          <w:i/>
          <w:iCs/>
          <w:lang w:val="en-US"/>
        </w:rPr>
        <w:t xml:space="preserve">“[…] all aggregated statistical, non-personal data for Business Operations are from data System-Generated Logs or calculated statistics related to Customer Data or Professional </w:t>
      </w:r>
      <w:r w:rsidRPr="001C19E7">
        <w:rPr>
          <w:i/>
          <w:iCs/>
          <w:lang w:val="en-US"/>
        </w:rPr>
        <w:lastRenderedPageBreak/>
        <w:t>Services Data. In each case without accessing or analyzing the content of Customer Data or Professional Services Data and limited to achieving the purposes below, each as incident to providing the Products and Services to Customer.”</w:t>
      </w:r>
    </w:p>
    <w:p w14:paraId="1727E49E" w14:textId="77777777" w:rsidR="006622CD" w:rsidRPr="001C19E7" w:rsidRDefault="006622CD" w:rsidP="006622CD">
      <w:pPr>
        <w:rPr>
          <w:lang w:val="en-US"/>
        </w:rPr>
      </w:pPr>
    </w:p>
    <w:p w14:paraId="511BF5FA" w14:textId="05F6BC00" w:rsidR="006622CD" w:rsidRPr="001C19E7" w:rsidRDefault="006622CD" w:rsidP="006622CD">
      <w:pPr>
        <w:rPr>
          <w:lang w:val="en-US"/>
        </w:rPr>
      </w:pPr>
      <w:r w:rsidRPr="001C19E7">
        <w:rPr>
          <w:lang w:val="en-US"/>
        </w:rPr>
        <w:t xml:space="preserve">Mere </w:t>
      </w:r>
      <w:proofErr w:type="spellStart"/>
      <w:r w:rsidRPr="001C19E7">
        <w:rPr>
          <w:lang w:val="en-US"/>
        </w:rPr>
        <w:t>konkret</w:t>
      </w:r>
      <w:proofErr w:type="spellEnd"/>
      <w:r w:rsidRPr="001C19E7">
        <w:rPr>
          <w:lang w:val="en-US"/>
        </w:rPr>
        <w:t xml:space="preserve"> </w:t>
      </w:r>
      <w:proofErr w:type="spellStart"/>
      <w:r w:rsidRPr="001C19E7">
        <w:rPr>
          <w:lang w:val="en-US"/>
        </w:rPr>
        <w:t>har</w:t>
      </w:r>
      <w:proofErr w:type="spellEnd"/>
      <w:r w:rsidRPr="001C19E7">
        <w:rPr>
          <w:lang w:val="en-US"/>
        </w:rPr>
        <w:t xml:space="preserve"> Microsoft </w:t>
      </w:r>
      <w:proofErr w:type="spellStart"/>
      <w:r w:rsidRPr="001C19E7">
        <w:rPr>
          <w:lang w:val="en-US"/>
        </w:rPr>
        <w:t>besvaret</w:t>
      </w:r>
      <w:proofErr w:type="spellEnd"/>
      <w:r w:rsidRPr="001C19E7">
        <w:rPr>
          <w:lang w:val="en-US"/>
        </w:rPr>
        <w:t xml:space="preserve"> </w:t>
      </w:r>
      <w:proofErr w:type="spellStart"/>
      <w:proofErr w:type="gramStart"/>
      <w:r w:rsidRPr="001C19E7">
        <w:rPr>
          <w:lang w:val="en-US"/>
        </w:rPr>
        <w:t>spørgsmålet</w:t>
      </w:r>
      <w:proofErr w:type="spellEnd"/>
      <w:r w:rsidRPr="001C19E7">
        <w:rPr>
          <w:lang w:val="en-US"/>
        </w:rPr>
        <w:t xml:space="preserve"> </w:t>
      </w:r>
      <w:r w:rsidRPr="001C19E7">
        <w:rPr>
          <w:i/>
          <w:iCs/>
          <w:lang w:val="en-US"/>
        </w:rPr>
        <w:t>”Are</w:t>
      </w:r>
      <w:proofErr w:type="gramEnd"/>
      <w:r w:rsidRPr="001C19E7">
        <w:rPr>
          <w:i/>
          <w:iCs/>
          <w:lang w:val="en-US"/>
        </w:rPr>
        <w:t xml:space="preserve"> personal data </w:t>
      </w:r>
      <w:proofErr w:type="spellStart"/>
      <w:r w:rsidRPr="001C19E7">
        <w:rPr>
          <w:i/>
          <w:iCs/>
          <w:lang w:val="en-US"/>
        </w:rPr>
        <w:t>anonymised</w:t>
      </w:r>
      <w:proofErr w:type="spellEnd"/>
      <w:r w:rsidRPr="001C19E7">
        <w:rPr>
          <w:i/>
          <w:iCs/>
          <w:lang w:val="en-US"/>
        </w:rPr>
        <w:t xml:space="preserve"> before Microsoft’s data processing? - If yes, are </w:t>
      </w:r>
      <w:proofErr w:type="spellStart"/>
      <w:r w:rsidRPr="001C19E7">
        <w:rPr>
          <w:i/>
          <w:iCs/>
          <w:lang w:val="en-US"/>
        </w:rPr>
        <w:t>anonymised</w:t>
      </w:r>
      <w:proofErr w:type="spellEnd"/>
      <w:r w:rsidRPr="001C19E7">
        <w:rPr>
          <w:i/>
          <w:iCs/>
          <w:lang w:val="en-US"/>
        </w:rPr>
        <w:t xml:space="preserve"> data further processed for other purposes? - Which purposes?”</w:t>
      </w:r>
      <w:r w:rsidRPr="001C19E7">
        <w:rPr>
          <w:lang w:val="en-US"/>
        </w:rPr>
        <w:t xml:space="preserve"> </w:t>
      </w:r>
      <w:proofErr w:type="spellStart"/>
      <w:r w:rsidRPr="001C19E7">
        <w:rPr>
          <w:lang w:val="en-US"/>
        </w:rPr>
        <w:t>på</w:t>
      </w:r>
      <w:proofErr w:type="spellEnd"/>
      <w:r w:rsidRPr="001C19E7">
        <w:rPr>
          <w:lang w:val="en-US"/>
        </w:rPr>
        <w:t xml:space="preserve"> </w:t>
      </w:r>
      <w:proofErr w:type="spellStart"/>
      <w:r w:rsidRPr="001C19E7">
        <w:rPr>
          <w:lang w:val="en-US"/>
        </w:rPr>
        <w:t>følgende</w:t>
      </w:r>
      <w:proofErr w:type="spellEnd"/>
      <w:r w:rsidRPr="001C19E7">
        <w:rPr>
          <w:lang w:val="en-US"/>
        </w:rPr>
        <w:t xml:space="preserve"> </w:t>
      </w:r>
      <w:proofErr w:type="spellStart"/>
      <w:r w:rsidRPr="001C19E7">
        <w:rPr>
          <w:lang w:val="en-US"/>
        </w:rPr>
        <w:t>måde</w:t>
      </w:r>
      <w:proofErr w:type="spellEnd"/>
      <w:r w:rsidRPr="001C19E7">
        <w:rPr>
          <w:lang w:val="en-US"/>
        </w:rPr>
        <w:t>:</w:t>
      </w:r>
    </w:p>
    <w:p w14:paraId="6A725868" w14:textId="77777777" w:rsidR="006622CD" w:rsidRPr="001C19E7" w:rsidRDefault="006622CD" w:rsidP="006622CD">
      <w:pPr>
        <w:rPr>
          <w:lang w:val="en-US"/>
        </w:rPr>
      </w:pPr>
    </w:p>
    <w:p w14:paraId="7800A8C8" w14:textId="5147B1AB" w:rsidR="006622CD" w:rsidRPr="001C19E7" w:rsidRDefault="006622CD" w:rsidP="006622CD">
      <w:pPr>
        <w:ind w:left="1304"/>
        <w:rPr>
          <w:i/>
          <w:iCs/>
          <w:lang w:val="en-US"/>
        </w:rPr>
      </w:pPr>
      <w:r w:rsidRPr="001C19E7">
        <w:rPr>
          <w:i/>
          <w:iCs/>
          <w:lang w:val="en-US"/>
        </w:rPr>
        <w:t xml:space="preserve">“Yes. Microsoft creates aggregated statistical, </w:t>
      </w:r>
      <w:r w:rsidRPr="001C19E7">
        <w:rPr>
          <w:i/>
          <w:iCs/>
          <w:u w:val="single"/>
          <w:lang w:val="en-US"/>
        </w:rPr>
        <w:t>non-personal data</w:t>
      </w:r>
      <w:r w:rsidRPr="001C19E7">
        <w:rPr>
          <w:i/>
          <w:iCs/>
          <w:lang w:val="en-US"/>
        </w:rPr>
        <w:t xml:space="preserve"> from data containing pseudonymized identifiers (such as usage logs containing unique, pseudonymized identifiers) and calculates statistics related to Customer Data or Professional Services Data. All purposes for which these non-personal Business Operations data are used, are defined in the DPA (see above).”</w:t>
      </w:r>
    </w:p>
    <w:p w14:paraId="58131DFF" w14:textId="77777777" w:rsidR="006622CD" w:rsidRPr="001C19E7" w:rsidRDefault="006622CD" w:rsidP="006622CD">
      <w:pPr>
        <w:rPr>
          <w:lang w:val="en-US"/>
        </w:rPr>
      </w:pPr>
    </w:p>
    <w:p w14:paraId="640F6E47" w14:textId="0212B706" w:rsidR="00025E26" w:rsidRPr="00DC4F35" w:rsidRDefault="00025E26" w:rsidP="0036440D">
      <w:r w:rsidRPr="00DC4F35">
        <w:t xml:space="preserve">Det er </w:t>
      </w:r>
      <w:r w:rsidR="006622CD" w:rsidRPr="00DC4F35">
        <w:t>på baggrund heraf</w:t>
      </w:r>
      <w:r w:rsidRPr="00DC4F35">
        <w:t xml:space="preserve"> </w:t>
      </w:r>
      <w:r w:rsidR="00044E11" w:rsidRPr="00DC4F35">
        <w:t xml:space="preserve">Statens </w:t>
      </w:r>
      <w:proofErr w:type="spellStart"/>
      <w:r w:rsidR="00044E11" w:rsidRPr="00DC4F35">
        <w:t>It’s</w:t>
      </w:r>
      <w:proofErr w:type="spellEnd"/>
      <w:r w:rsidRPr="00DC4F35">
        <w:t xml:space="preserve"> og Ø</w:t>
      </w:r>
      <w:r w:rsidR="00044E11" w:rsidRPr="00DC4F35">
        <w:t>konomistyrelsens</w:t>
      </w:r>
      <w:r w:rsidRPr="00DC4F35">
        <w:t xml:space="preserve"> opfattelse, at der ikke sker en videregivelse eller overførsel af personoplysninger til Microsoft i USA til brug for Microsofts egne formål.</w:t>
      </w:r>
      <w:r w:rsidR="006622CD" w:rsidRPr="00DC4F35">
        <w:t xml:space="preserve"> </w:t>
      </w:r>
      <w:r w:rsidR="00AB61C9" w:rsidRPr="00DC4F35">
        <w:t>Dette behandles derfor ikke yderligere i nærværende TIA.</w:t>
      </w:r>
    </w:p>
    <w:p w14:paraId="362B9C59" w14:textId="77777777" w:rsidR="00F1323E" w:rsidRPr="00DC4F35" w:rsidRDefault="00F1323E" w:rsidP="0036440D"/>
    <w:p w14:paraId="7752D7AA" w14:textId="72EFBEED" w:rsidR="0036440D" w:rsidRPr="00DC4F35" w:rsidRDefault="0036440D" w:rsidP="0036440D">
      <w:pPr>
        <w:pStyle w:val="Overskrift2"/>
      </w:pPr>
      <w:bookmarkStart w:id="31" w:name="_Toc170824027"/>
      <w:r w:rsidRPr="00DC4F35">
        <w:t xml:space="preserve">Hvilke kategorier af personoplysninger vedrører </w:t>
      </w:r>
      <w:r w:rsidR="00A730C5" w:rsidRPr="00DC4F35">
        <w:t>overførslerne</w:t>
      </w:r>
      <w:r w:rsidRPr="00DC4F35">
        <w:t>, og hvad er omfanget heraf?</w:t>
      </w:r>
      <w:bookmarkEnd w:id="31"/>
    </w:p>
    <w:p w14:paraId="40288B85" w14:textId="6D7280EE" w:rsidR="0036440D" w:rsidRPr="00DC4F35" w:rsidRDefault="00FC53F2" w:rsidP="0036440D">
      <w:pPr>
        <w:pStyle w:val="Overskrift3"/>
      </w:pPr>
      <w:bookmarkStart w:id="32" w:name="_Ref167400226"/>
      <w:bookmarkStart w:id="33" w:name="_Toc170824028"/>
      <w:r w:rsidRPr="00DC4F35">
        <w:t>Indledning</w:t>
      </w:r>
      <w:bookmarkEnd w:id="32"/>
      <w:bookmarkEnd w:id="33"/>
    </w:p>
    <w:p w14:paraId="6FD9B40E" w14:textId="070E8EC4" w:rsidR="001A7873" w:rsidRPr="00DC4F35" w:rsidRDefault="00D52AB4" w:rsidP="00804FF4">
      <w:r w:rsidRPr="00DC4F35">
        <w:t>Overordnet opererer Microsoft</w:t>
      </w:r>
      <w:r w:rsidR="00505B9A" w:rsidRPr="00DC4F35">
        <w:t xml:space="preserve"> Ireland</w:t>
      </w:r>
      <w:r w:rsidRPr="00DC4F35">
        <w:t xml:space="preserve"> med tre kategorier af personoplysninger; Customer Data, Professional Services Data og Personal Data. Hertil kommer </w:t>
      </w:r>
      <w:proofErr w:type="spellStart"/>
      <w:r w:rsidRPr="00DC4F35">
        <w:t>Diagnostic</w:t>
      </w:r>
      <w:proofErr w:type="spellEnd"/>
      <w:r w:rsidRPr="00DC4F35">
        <w:t xml:space="preserve"> Data og System-</w:t>
      </w:r>
      <w:proofErr w:type="spellStart"/>
      <w:r w:rsidRPr="00DC4F35">
        <w:t>Generated</w:t>
      </w:r>
      <w:proofErr w:type="spellEnd"/>
      <w:r w:rsidRPr="00DC4F35">
        <w:t xml:space="preserve"> Logs</w:t>
      </w:r>
      <w:r w:rsidR="00266042" w:rsidRPr="00DC4F35">
        <w:t>,</w:t>
      </w:r>
      <w:r w:rsidRPr="00DC4F35">
        <w:t xml:space="preserve"> som begge kan indeholde personoplysninger </w:t>
      </w:r>
      <w:r w:rsidR="00804FF4" w:rsidRPr="00DC4F35">
        <w:t xml:space="preserve">(”Personal Data”), </w:t>
      </w:r>
      <w:r w:rsidR="002F7EBC" w:rsidRPr="00DC4F35">
        <w:t xml:space="preserve">men </w:t>
      </w:r>
      <w:r w:rsidR="00804FF4" w:rsidRPr="00DC4F35">
        <w:t>som dog</w:t>
      </w:r>
      <w:r w:rsidR="00FC4AD9" w:rsidRPr="00DC4F35">
        <w:t xml:space="preserve"> efter det af Microsoft </w:t>
      </w:r>
      <w:r w:rsidR="00505B9A" w:rsidRPr="00DC4F35">
        <w:t xml:space="preserve">Ireland </w:t>
      </w:r>
      <w:r w:rsidR="00FC4AD9" w:rsidRPr="00DC4F35">
        <w:t>oplyste</w:t>
      </w:r>
      <w:r w:rsidR="00804FF4" w:rsidRPr="00DC4F35">
        <w:t xml:space="preserve"> altid vil være </w:t>
      </w:r>
      <w:proofErr w:type="spellStart"/>
      <w:r w:rsidR="00804FF4" w:rsidRPr="00DC4F35">
        <w:t>pseudonymiseret</w:t>
      </w:r>
      <w:proofErr w:type="spellEnd"/>
      <w:r w:rsidR="0090064F" w:rsidRPr="00DC4F35">
        <w:t xml:space="preserve"> ved et </w:t>
      </w:r>
      <w:proofErr w:type="spellStart"/>
      <w:r w:rsidR="0090064F" w:rsidRPr="00DC4F35">
        <w:t>token</w:t>
      </w:r>
      <w:proofErr w:type="spellEnd"/>
      <w:r w:rsidR="00804FF4" w:rsidRPr="00DC4F35">
        <w:t xml:space="preserve">. </w:t>
      </w:r>
    </w:p>
    <w:p w14:paraId="043C1BB9" w14:textId="77777777" w:rsidR="001A7873" w:rsidRPr="00DC4F35" w:rsidRDefault="001A7873" w:rsidP="00804FF4"/>
    <w:p w14:paraId="53C61B54" w14:textId="55AC43E0" w:rsidR="001A7873" w:rsidRPr="00DC4F35" w:rsidRDefault="001A7873" w:rsidP="001A7873">
      <w:r w:rsidRPr="00DC4F35">
        <w:t>Datakategorierne er kort præsenteret nedenfor og indgår i Microsoft</w:t>
      </w:r>
      <w:r w:rsidR="00505B9A" w:rsidRPr="00DC4F35">
        <w:t xml:space="preserve"> Irelands</w:t>
      </w:r>
      <w:r w:rsidRPr="00DC4F35">
        <w:t xml:space="preserve"> forskellige vilkår samt Microsoft</w:t>
      </w:r>
      <w:r w:rsidR="002763C5" w:rsidRPr="00DC4F35">
        <w:t xml:space="preserve"> Irelands</w:t>
      </w:r>
      <w:r w:rsidRPr="00DC4F35">
        <w:t xml:space="preserve"> databehandleraftale.</w:t>
      </w:r>
    </w:p>
    <w:p w14:paraId="72135AA0" w14:textId="77777777" w:rsidR="001A7873" w:rsidRPr="00DC4F35" w:rsidRDefault="001A7873" w:rsidP="001A7873"/>
    <w:tbl>
      <w:tblPr>
        <w:tblStyle w:val="Tabel-Gitter"/>
        <w:tblW w:w="9709" w:type="dxa"/>
        <w:tblLook w:val="04A0" w:firstRow="1" w:lastRow="0" w:firstColumn="1" w:lastColumn="0" w:noHBand="0" w:noVBand="1"/>
      </w:tblPr>
      <w:tblGrid>
        <w:gridCol w:w="1980"/>
        <w:gridCol w:w="7729"/>
      </w:tblGrid>
      <w:tr w:rsidR="001A7873" w:rsidRPr="00DC4F35" w14:paraId="46955A00" w14:textId="77777777" w:rsidTr="00C83C91">
        <w:trPr>
          <w:trHeight w:val="325"/>
        </w:trPr>
        <w:tc>
          <w:tcPr>
            <w:tcW w:w="1980" w:type="dxa"/>
          </w:tcPr>
          <w:p w14:paraId="6B88A8A7" w14:textId="77777777" w:rsidR="001A7873" w:rsidRPr="00DC4F35" w:rsidRDefault="001A7873" w:rsidP="00C83C91">
            <w:pPr>
              <w:rPr>
                <w:b/>
                <w:bCs/>
              </w:rPr>
            </w:pPr>
            <w:r w:rsidRPr="00DC4F35">
              <w:rPr>
                <w:b/>
                <w:bCs/>
              </w:rPr>
              <w:t>Datakategori</w:t>
            </w:r>
          </w:p>
        </w:tc>
        <w:tc>
          <w:tcPr>
            <w:tcW w:w="7729" w:type="dxa"/>
          </w:tcPr>
          <w:p w14:paraId="74BB0AAC" w14:textId="77777777" w:rsidR="001A7873" w:rsidRPr="00DC4F35" w:rsidRDefault="001A7873" w:rsidP="00C83C91">
            <w:pPr>
              <w:rPr>
                <w:b/>
                <w:bCs/>
              </w:rPr>
            </w:pPr>
            <w:r w:rsidRPr="00DC4F35">
              <w:rPr>
                <w:b/>
                <w:bCs/>
              </w:rPr>
              <w:t>Beskrivelse</w:t>
            </w:r>
          </w:p>
        </w:tc>
      </w:tr>
      <w:tr w:rsidR="001A7873" w:rsidRPr="00DC4F35" w14:paraId="3B950244" w14:textId="77777777" w:rsidTr="00C83C91">
        <w:trPr>
          <w:trHeight w:val="637"/>
        </w:trPr>
        <w:tc>
          <w:tcPr>
            <w:tcW w:w="1980" w:type="dxa"/>
          </w:tcPr>
          <w:p w14:paraId="6AAA9308" w14:textId="77777777" w:rsidR="001A7873" w:rsidRPr="00DC4F35" w:rsidRDefault="001A7873" w:rsidP="00C83C91">
            <w:r w:rsidRPr="00DC4F35">
              <w:t>Personal Data</w:t>
            </w:r>
          </w:p>
        </w:tc>
        <w:tc>
          <w:tcPr>
            <w:tcW w:w="7729" w:type="dxa"/>
          </w:tcPr>
          <w:p w14:paraId="2CD77C5D" w14:textId="11A18AA2" w:rsidR="001A7873" w:rsidRPr="00DC4F35" w:rsidRDefault="001A7873" w:rsidP="00C83C91">
            <w:r w:rsidRPr="00DC4F35">
              <w:t>Kategorien omfatter personoplysninger. Definitionen af Personal Data findes i Microsoft</w:t>
            </w:r>
            <w:r w:rsidR="002763C5" w:rsidRPr="00DC4F35">
              <w:t xml:space="preserve"> Irelands</w:t>
            </w:r>
            <w:r w:rsidRPr="00DC4F35">
              <w:t xml:space="preserve"> databehandleraftale og svarer til databeskyttelsesforordningens definition.  </w:t>
            </w:r>
          </w:p>
          <w:p w14:paraId="61CAC92F" w14:textId="77777777" w:rsidR="001A7873" w:rsidRPr="00DC4F35" w:rsidRDefault="001A7873" w:rsidP="00C83C91"/>
        </w:tc>
      </w:tr>
      <w:tr w:rsidR="001A7873" w:rsidRPr="00DC4F35" w14:paraId="4A946F12" w14:textId="77777777" w:rsidTr="00C83C91">
        <w:trPr>
          <w:trHeight w:val="325"/>
        </w:trPr>
        <w:tc>
          <w:tcPr>
            <w:tcW w:w="1980" w:type="dxa"/>
          </w:tcPr>
          <w:p w14:paraId="5E84BDA6" w14:textId="77777777" w:rsidR="001A7873" w:rsidRPr="00DC4F35" w:rsidRDefault="001A7873" w:rsidP="00C83C91">
            <w:r w:rsidRPr="00DC4F35">
              <w:lastRenderedPageBreak/>
              <w:t>Customer Data</w:t>
            </w:r>
          </w:p>
        </w:tc>
        <w:tc>
          <w:tcPr>
            <w:tcW w:w="7729" w:type="dxa"/>
          </w:tcPr>
          <w:p w14:paraId="256C6611" w14:textId="562EF20F" w:rsidR="001A7873" w:rsidRPr="00DC4F35" w:rsidRDefault="001A7873" w:rsidP="00C83C91">
            <w:r w:rsidRPr="00DC4F35">
              <w:t>Kategorien omfatter kundens data i Microsoft 365 cloudtjenester (Online Services), dvs. den data, som kunden lagrer i, behandler og genererer i cloudtjenesterne. Customer Data indeholder (også) Personal Data. Definitionen findes i Microsoft</w:t>
            </w:r>
            <w:r w:rsidR="00170DF1" w:rsidRPr="00DC4F35">
              <w:t xml:space="preserve"> Irelands</w:t>
            </w:r>
            <w:r w:rsidRPr="00DC4F35">
              <w:t xml:space="preserve"> databehandleraftale. </w:t>
            </w:r>
          </w:p>
        </w:tc>
      </w:tr>
      <w:tr w:rsidR="001A7873" w:rsidRPr="00DC4F35" w14:paraId="3B55F24C" w14:textId="77777777" w:rsidTr="00C83C91">
        <w:trPr>
          <w:trHeight w:val="325"/>
        </w:trPr>
        <w:tc>
          <w:tcPr>
            <w:tcW w:w="1980" w:type="dxa"/>
          </w:tcPr>
          <w:p w14:paraId="3B75D7A9" w14:textId="77777777" w:rsidR="001A7873" w:rsidRPr="00DC4F35" w:rsidRDefault="001A7873" w:rsidP="00C83C91">
            <w:r w:rsidRPr="00DC4F35">
              <w:t>Professional Services Data</w:t>
            </w:r>
          </w:p>
        </w:tc>
        <w:tc>
          <w:tcPr>
            <w:tcW w:w="7729" w:type="dxa"/>
          </w:tcPr>
          <w:p w14:paraId="32DF4B3B" w14:textId="3C129A25" w:rsidR="001A7873" w:rsidRPr="00DC4F35" w:rsidRDefault="001A7873" w:rsidP="00C83C91">
            <w:r w:rsidRPr="00DC4F35">
              <w:t>Kategorien omfatter data, som behandles i forbindelse med Microsoft</w:t>
            </w:r>
            <w:r w:rsidR="00AF170E" w:rsidRPr="00DC4F35">
              <w:t xml:space="preserve"> Irelands</w:t>
            </w:r>
            <w:r w:rsidRPr="00DC4F35">
              <w:t xml:space="preserve"> konsulent- og supportydelser</w:t>
            </w:r>
            <w:r w:rsidR="0090064F" w:rsidRPr="00DC4F35">
              <w:t>, som er et tilvalg til Microsoft</w:t>
            </w:r>
            <w:r w:rsidR="00AF170E" w:rsidRPr="00DC4F35">
              <w:t xml:space="preserve"> Irelands</w:t>
            </w:r>
            <w:r w:rsidR="0090064F" w:rsidRPr="00DC4F35">
              <w:t xml:space="preserve"> øvrige ydelser</w:t>
            </w:r>
            <w:r w:rsidRPr="00DC4F35">
              <w:t>. Professional Services Data indeholder (også) Personal Data. Definitionen findes i Microsoft</w:t>
            </w:r>
            <w:r w:rsidR="007F4AA6" w:rsidRPr="00DC4F35">
              <w:t xml:space="preserve"> Irelands</w:t>
            </w:r>
            <w:r w:rsidRPr="00DC4F35">
              <w:t xml:space="preserve"> databehandleraftale.</w:t>
            </w:r>
          </w:p>
        </w:tc>
      </w:tr>
      <w:tr w:rsidR="001A7873" w:rsidRPr="00DC4F35" w14:paraId="20BBDC49" w14:textId="77777777" w:rsidTr="00C83C91">
        <w:trPr>
          <w:trHeight w:val="325"/>
        </w:trPr>
        <w:tc>
          <w:tcPr>
            <w:tcW w:w="1980" w:type="dxa"/>
          </w:tcPr>
          <w:p w14:paraId="6B3D1B9B" w14:textId="77777777" w:rsidR="001A7873" w:rsidRPr="00DC4F35" w:rsidRDefault="001A7873" w:rsidP="00C83C91">
            <w:r w:rsidRPr="00DC4F35">
              <w:t>System-</w:t>
            </w:r>
            <w:proofErr w:type="spellStart"/>
            <w:r w:rsidRPr="00DC4F35">
              <w:t>Generated</w:t>
            </w:r>
            <w:proofErr w:type="spellEnd"/>
            <w:r w:rsidRPr="00DC4F35">
              <w:t xml:space="preserve"> Logs</w:t>
            </w:r>
          </w:p>
        </w:tc>
        <w:tc>
          <w:tcPr>
            <w:tcW w:w="7729" w:type="dxa"/>
          </w:tcPr>
          <w:p w14:paraId="22590CE3" w14:textId="77777777" w:rsidR="001A7873" w:rsidRPr="00DC4F35" w:rsidRDefault="001A7873" w:rsidP="00C83C91">
            <w:r w:rsidRPr="00DC4F35">
              <w:t>Kategorien omfatter data, som genereres om brugernes interaktion med cloudtjenesterne. System-</w:t>
            </w:r>
            <w:proofErr w:type="spellStart"/>
            <w:r w:rsidRPr="00DC4F35">
              <w:t>Generated</w:t>
            </w:r>
            <w:proofErr w:type="spellEnd"/>
            <w:r w:rsidRPr="00DC4F35">
              <w:t xml:space="preserve"> Logs indeholder Personal Data. </w:t>
            </w:r>
          </w:p>
          <w:p w14:paraId="4D501271" w14:textId="77777777" w:rsidR="001A7873" w:rsidRPr="00DC4F35" w:rsidRDefault="001A7873" w:rsidP="00C83C91"/>
          <w:p w14:paraId="13E058D0" w14:textId="238CE7DF" w:rsidR="001A7873" w:rsidRPr="00DC4F35" w:rsidRDefault="001A7873" w:rsidP="00C83C91">
            <w:r w:rsidRPr="00DC4F35">
              <w:t>System-</w:t>
            </w:r>
            <w:proofErr w:type="spellStart"/>
            <w:r w:rsidRPr="00DC4F35">
              <w:t>Generated</w:t>
            </w:r>
            <w:proofErr w:type="spellEnd"/>
            <w:r w:rsidRPr="00DC4F35">
              <w:t xml:space="preserve"> Logs </w:t>
            </w:r>
            <w:proofErr w:type="spellStart"/>
            <w:r w:rsidRPr="00DC4F35">
              <w:t>pseudonymiseres</w:t>
            </w:r>
            <w:proofErr w:type="spellEnd"/>
            <w:r w:rsidRPr="00DC4F35">
              <w:t xml:space="preserve"> og bruges til i) at levere tjenesteydelser og sørge for sikkerheden</w:t>
            </w:r>
            <w:r w:rsidR="002F7EBC" w:rsidRPr="00DC4F35">
              <w:t>,</w:t>
            </w:r>
            <w:r w:rsidRPr="00DC4F35">
              <w:t xml:space="preserve"> samt at disse fungerer efter hensigten og ii) ”business operations”. System-</w:t>
            </w:r>
            <w:proofErr w:type="spellStart"/>
            <w:r w:rsidRPr="00DC4F35">
              <w:t>Generated</w:t>
            </w:r>
            <w:proofErr w:type="spellEnd"/>
            <w:r w:rsidRPr="00DC4F35">
              <w:t xml:space="preserve"> Logs, som indeholder ikke-</w:t>
            </w:r>
            <w:proofErr w:type="spellStart"/>
            <w:r w:rsidRPr="00DC4F35">
              <w:t>pseudonymiserede</w:t>
            </w:r>
            <w:proofErr w:type="spellEnd"/>
            <w:r w:rsidRPr="00DC4F35">
              <w:t xml:space="preserve"> personoplysninger, behandles som Customer Data. </w:t>
            </w:r>
          </w:p>
        </w:tc>
      </w:tr>
      <w:tr w:rsidR="001A7873" w:rsidRPr="00DC4F35" w14:paraId="55F42CFD" w14:textId="77777777" w:rsidTr="00C83C91">
        <w:trPr>
          <w:trHeight w:val="312"/>
        </w:trPr>
        <w:tc>
          <w:tcPr>
            <w:tcW w:w="1980" w:type="dxa"/>
          </w:tcPr>
          <w:p w14:paraId="61FEA340" w14:textId="77777777" w:rsidR="001A7873" w:rsidRPr="00DC4F35" w:rsidRDefault="001A7873" w:rsidP="00C83C91">
            <w:proofErr w:type="spellStart"/>
            <w:r w:rsidRPr="00DC4F35">
              <w:t>Diagnostic</w:t>
            </w:r>
            <w:proofErr w:type="spellEnd"/>
            <w:r w:rsidRPr="00DC4F35">
              <w:t xml:space="preserve"> Data </w:t>
            </w:r>
          </w:p>
        </w:tc>
        <w:tc>
          <w:tcPr>
            <w:tcW w:w="7729" w:type="dxa"/>
          </w:tcPr>
          <w:p w14:paraId="00C9BA13" w14:textId="77777777" w:rsidR="001A7873" w:rsidRPr="00DC4F35" w:rsidRDefault="001A7873" w:rsidP="00C83C91">
            <w:r w:rsidRPr="00DC4F35">
              <w:t xml:space="preserve">Kategorien omfatter data, som indsamles fra desktop-applikationer med henblik på at sikre, at applikationerne fungerer efter hensigten. </w:t>
            </w:r>
            <w:proofErr w:type="spellStart"/>
            <w:r w:rsidRPr="00DC4F35">
              <w:t>Diagnostic</w:t>
            </w:r>
            <w:proofErr w:type="spellEnd"/>
            <w:r w:rsidRPr="00DC4F35">
              <w:t xml:space="preserve"> Data indeholder Personal Data.  </w:t>
            </w:r>
          </w:p>
        </w:tc>
      </w:tr>
    </w:tbl>
    <w:p w14:paraId="136EC7B2" w14:textId="77777777" w:rsidR="001A7873" w:rsidRPr="00DC4F35" w:rsidRDefault="001A7873" w:rsidP="001A7873"/>
    <w:p w14:paraId="6E2CE1B1" w14:textId="61CD5D30" w:rsidR="0090064F" w:rsidRPr="00DC4F35" w:rsidRDefault="001A7873" w:rsidP="00804FF4">
      <w:r w:rsidRPr="00DC4F35">
        <w:t>System-</w:t>
      </w:r>
      <w:proofErr w:type="spellStart"/>
      <w:r w:rsidRPr="00DC4F35">
        <w:t>Generated</w:t>
      </w:r>
      <w:proofErr w:type="spellEnd"/>
      <w:r w:rsidRPr="00DC4F35">
        <w:t xml:space="preserve"> Logs er nærmere beskrevet i forbindelse med Microsoft</w:t>
      </w:r>
      <w:r w:rsidR="00953FB6" w:rsidRPr="00DC4F35">
        <w:t xml:space="preserve"> Irelands</w:t>
      </w:r>
      <w:r w:rsidRPr="00DC4F35">
        <w:t xml:space="preserve"> business operations </w:t>
      </w:r>
      <w:proofErr w:type="spellStart"/>
      <w:r w:rsidRPr="00DC4F35">
        <w:t>white</w:t>
      </w:r>
      <w:proofErr w:type="spellEnd"/>
      <w:r w:rsidRPr="00DC4F35">
        <w:t xml:space="preserve"> </w:t>
      </w:r>
      <w:proofErr w:type="spellStart"/>
      <w:r w:rsidRPr="00DC4F35">
        <w:t>paper</w:t>
      </w:r>
      <w:proofErr w:type="spellEnd"/>
      <w:r w:rsidRPr="00DC4F35">
        <w:t xml:space="preserve">, hvor også </w:t>
      </w:r>
      <w:proofErr w:type="spellStart"/>
      <w:r w:rsidRPr="00DC4F35">
        <w:t>Diagnostic</w:t>
      </w:r>
      <w:proofErr w:type="spellEnd"/>
      <w:r w:rsidRPr="00DC4F35">
        <w:t xml:space="preserve"> Data er omtalt.</w:t>
      </w:r>
    </w:p>
    <w:p w14:paraId="642919A8" w14:textId="77777777" w:rsidR="0090064F" w:rsidRPr="00DC4F35" w:rsidRDefault="0090064F" w:rsidP="00804FF4"/>
    <w:p w14:paraId="3FE3E873" w14:textId="5CCC95E8" w:rsidR="0090064F" w:rsidRPr="00DC4F35" w:rsidRDefault="0090064F" w:rsidP="00804FF4">
      <w:r w:rsidRPr="00DC4F35">
        <w:t>Der anvendes System-</w:t>
      </w:r>
      <w:proofErr w:type="spellStart"/>
      <w:r w:rsidRPr="00DC4F35">
        <w:t>Generated</w:t>
      </w:r>
      <w:proofErr w:type="spellEnd"/>
      <w:r w:rsidRPr="00DC4F35">
        <w:t xml:space="preserve"> Logs og </w:t>
      </w:r>
      <w:proofErr w:type="spellStart"/>
      <w:r w:rsidRPr="00DC4F35">
        <w:t>Diagnostic</w:t>
      </w:r>
      <w:proofErr w:type="spellEnd"/>
      <w:r w:rsidRPr="00DC4F35">
        <w:t xml:space="preserve"> Data både i forbindelse med levering af supportydelser (Professional Services) og i forbindelse med levering af </w:t>
      </w:r>
      <w:r w:rsidR="00902CAB" w:rsidRPr="00DC4F35">
        <w:t xml:space="preserve">de udvalgte applikationer og </w:t>
      </w:r>
      <w:r w:rsidRPr="00DC4F35">
        <w:t>cloudtjenester</w:t>
      </w:r>
      <w:r w:rsidR="00902CAB" w:rsidRPr="00DC4F35">
        <w:t xml:space="preserve"> i Microsoft 365. </w:t>
      </w:r>
    </w:p>
    <w:p w14:paraId="4E66781F" w14:textId="77777777" w:rsidR="001A7873" w:rsidRPr="00DC4F35" w:rsidRDefault="001A7873" w:rsidP="00804FF4"/>
    <w:p w14:paraId="6E7D4368" w14:textId="0A9D2928" w:rsidR="0036440D" w:rsidRPr="00DC4F35" w:rsidRDefault="00AA7C79" w:rsidP="0036440D">
      <w:r w:rsidRPr="00DC4F35">
        <w:t>De Dataansvarliges</w:t>
      </w:r>
      <w:r w:rsidR="0036440D" w:rsidRPr="00DC4F35">
        <w:t xml:space="preserve"> brug af </w:t>
      </w:r>
      <w:r w:rsidR="00B339C0" w:rsidRPr="00DC4F35">
        <w:rPr>
          <w:lang w:eastAsia="da-DK"/>
        </w:rPr>
        <w:t>udvalgte applikationer</w:t>
      </w:r>
      <w:r w:rsidR="00DE1AFD" w:rsidRPr="00DC4F35">
        <w:rPr>
          <w:lang w:eastAsia="da-DK"/>
        </w:rPr>
        <w:t>,</w:t>
      </w:r>
      <w:r w:rsidR="00B339C0" w:rsidRPr="00DC4F35">
        <w:rPr>
          <w:lang w:eastAsia="da-DK"/>
        </w:rPr>
        <w:t xml:space="preserve"> der interagerer med online services (Word, Excel, PowerPoint, Outlook, Teams app) </w:t>
      </w:r>
      <w:r w:rsidR="00D7074E" w:rsidRPr="00DC4F35">
        <w:rPr>
          <w:lang w:eastAsia="da-DK"/>
        </w:rPr>
        <w:t xml:space="preserve">og </w:t>
      </w:r>
      <w:r w:rsidR="00B339C0" w:rsidRPr="00DC4F35">
        <w:rPr>
          <w:lang w:eastAsia="da-DK"/>
        </w:rPr>
        <w:t>cloudtjenester (Office for the web, SharePoint, OneDrive, Exchange Online, Teams Online og Entra ID) i Microsoft 365</w:t>
      </w:r>
      <w:r w:rsidR="00D7074E" w:rsidRPr="00DC4F35">
        <w:rPr>
          <w:lang w:eastAsia="da-DK"/>
        </w:rPr>
        <w:t xml:space="preserve"> samt supportydelser i forbindelse hermed</w:t>
      </w:r>
      <w:r w:rsidR="00DE1AFD" w:rsidRPr="00DC4F35">
        <w:rPr>
          <w:lang w:eastAsia="da-DK"/>
        </w:rPr>
        <w:t>,</w:t>
      </w:r>
      <w:r w:rsidR="00B339C0" w:rsidRPr="00DC4F35">
        <w:rPr>
          <w:lang w:eastAsia="da-DK"/>
        </w:rPr>
        <w:t xml:space="preserve"> </w:t>
      </w:r>
      <w:r w:rsidR="0036440D" w:rsidRPr="00DC4F35">
        <w:t xml:space="preserve">vil </w:t>
      </w:r>
      <w:r w:rsidR="00E87DF1" w:rsidRPr="00DC4F35">
        <w:t>kunne</w:t>
      </w:r>
      <w:r w:rsidR="0036440D" w:rsidRPr="00DC4F35">
        <w:t xml:space="preserve"> medføre </w:t>
      </w:r>
      <w:r w:rsidR="003D26BC" w:rsidRPr="00DC4F35">
        <w:t>overførsel</w:t>
      </w:r>
      <w:r w:rsidR="0036440D" w:rsidRPr="00DC4F35">
        <w:t xml:space="preserve"> af de nedenfor oplistede </w:t>
      </w:r>
      <w:r w:rsidR="0036440D" w:rsidRPr="00DC4F35">
        <w:rPr>
          <w:rFonts w:cstheme="minorHAnsi"/>
        </w:rPr>
        <w:t xml:space="preserve">oplysninger: </w:t>
      </w:r>
    </w:p>
    <w:p w14:paraId="568FE1AB" w14:textId="77777777" w:rsidR="0036440D" w:rsidRPr="00DC4F35" w:rsidRDefault="0036440D" w:rsidP="0036440D">
      <w:pPr>
        <w:rPr>
          <w:rFonts w:cstheme="minorHAnsi"/>
        </w:rPr>
      </w:pPr>
    </w:p>
    <w:p w14:paraId="6FF9E084" w14:textId="552D7857" w:rsidR="00DE1AFD" w:rsidRPr="00DC4F35" w:rsidRDefault="00DE1AFD" w:rsidP="009963C6">
      <w:pPr>
        <w:pStyle w:val="Punktopstilling"/>
        <w:numPr>
          <w:ilvl w:val="0"/>
          <w:numId w:val="24"/>
        </w:numPr>
      </w:pPr>
      <w:r w:rsidRPr="00DC4F35">
        <w:rPr>
          <w:b/>
          <w:bCs w:val="0"/>
        </w:rPr>
        <w:t>Customer Data</w:t>
      </w:r>
      <w:r w:rsidRPr="00DC4F35">
        <w:t xml:space="preserve"> der kan være alle personoplysninger, herunder også følsomme og fortrolige</w:t>
      </w:r>
      <w:r w:rsidR="00A64D9D" w:rsidRPr="00DC4F35">
        <w:t>,</w:t>
      </w:r>
      <w:r w:rsidRPr="00DC4F35">
        <w:t xml:space="preserve"> samt </w:t>
      </w:r>
      <w:r w:rsidR="00A64D9D" w:rsidRPr="00DC4F35">
        <w:t>person</w:t>
      </w:r>
      <w:r w:rsidRPr="00DC4F35">
        <w:t>oplysninger om strafbare forhold</w:t>
      </w:r>
      <w:r w:rsidR="00A64D9D" w:rsidRPr="00DC4F35">
        <w:t>.</w:t>
      </w:r>
      <w:r w:rsidRPr="00DC4F35">
        <w:t xml:space="preserve"> </w:t>
      </w:r>
    </w:p>
    <w:p w14:paraId="49400E5F" w14:textId="63A8AA84" w:rsidR="00030964" w:rsidRPr="00DC4F35" w:rsidRDefault="00030964" w:rsidP="009963C6">
      <w:pPr>
        <w:pStyle w:val="Punktopstilling"/>
        <w:numPr>
          <w:ilvl w:val="0"/>
          <w:numId w:val="24"/>
        </w:numPr>
      </w:pPr>
      <w:r w:rsidRPr="00DC4F35">
        <w:rPr>
          <w:b/>
          <w:bCs w:val="0"/>
        </w:rPr>
        <w:t>Professional Services Data</w:t>
      </w:r>
      <w:r w:rsidRPr="00DC4F35">
        <w:t>, herunder både personoplysninger</w:t>
      </w:r>
      <w:r w:rsidR="00035D13" w:rsidRPr="00DC4F35">
        <w:t>,</w:t>
      </w:r>
      <w:r w:rsidRPr="00DC4F35">
        <w:t xml:space="preserve"> som en bruger selv har givet til Microsoft i</w:t>
      </w:r>
      <w:r w:rsidR="00035D13" w:rsidRPr="00DC4F35">
        <w:t xml:space="preserve"> forbindelse med</w:t>
      </w:r>
      <w:r w:rsidRPr="00DC4F35">
        <w:t xml:space="preserve"> </w:t>
      </w:r>
      <w:r w:rsidR="00035D13" w:rsidRPr="00DC4F35">
        <w:t>s</w:t>
      </w:r>
      <w:r w:rsidRPr="00DC4F35">
        <w:t>upport</w:t>
      </w:r>
      <w:r w:rsidR="002F7EBC" w:rsidRPr="00DC4F35">
        <w:t>,</w:t>
      </w:r>
      <w:r w:rsidRPr="00DC4F35">
        <w:t xml:space="preserve"> og personoplysninger som indsamles af Microsoft i forbindelse hermed for at løse supportopgaven.</w:t>
      </w:r>
    </w:p>
    <w:p w14:paraId="68D144BF" w14:textId="58A27D7E" w:rsidR="0036440D" w:rsidRPr="00DC4F35" w:rsidRDefault="0036440D" w:rsidP="009963C6">
      <w:pPr>
        <w:pStyle w:val="Punktopstilling"/>
        <w:numPr>
          <w:ilvl w:val="0"/>
          <w:numId w:val="24"/>
        </w:numPr>
      </w:pPr>
      <w:r w:rsidRPr="00DC4F35">
        <w:rPr>
          <w:b/>
          <w:bCs w:val="0"/>
        </w:rPr>
        <w:t xml:space="preserve">Microsoft Entra </w:t>
      </w:r>
      <w:proofErr w:type="spellStart"/>
      <w:r w:rsidRPr="00DC4F35">
        <w:rPr>
          <w:b/>
          <w:bCs w:val="0"/>
        </w:rPr>
        <w:t>ID’s</w:t>
      </w:r>
      <w:proofErr w:type="spellEnd"/>
      <w:r w:rsidRPr="00DC4F35">
        <w:rPr>
          <w:b/>
          <w:bCs w:val="0"/>
        </w:rPr>
        <w:t xml:space="preserve"> oplysninger (herefter </w:t>
      </w:r>
      <w:r w:rsidR="00ED6405" w:rsidRPr="00DC4F35">
        <w:rPr>
          <w:b/>
          <w:bCs w:val="0"/>
        </w:rPr>
        <w:t>”</w:t>
      </w:r>
      <w:r w:rsidRPr="00DC4F35">
        <w:rPr>
          <w:b/>
          <w:bCs w:val="0"/>
        </w:rPr>
        <w:t>ID-oplysninger</w:t>
      </w:r>
      <w:r w:rsidR="00ED6405" w:rsidRPr="00DC4F35">
        <w:rPr>
          <w:b/>
          <w:bCs w:val="0"/>
        </w:rPr>
        <w:t>”</w:t>
      </w:r>
      <w:r w:rsidRPr="00DC4F35">
        <w:rPr>
          <w:b/>
          <w:bCs w:val="0"/>
        </w:rPr>
        <w:t>)</w:t>
      </w:r>
      <w:r w:rsidRPr="00DC4F35">
        <w:t xml:space="preserve"> (navn, brugernavn, arbejdsmail, arbejdstelefonnummer og stillingsbetegnelse)</w:t>
      </w:r>
      <w:r w:rsidR="00035D13" w:rsidRPr="00DC4F35">
        <w:t>.</w:t>
      </w:r>
    </w:p>
    <w:p w14:paraId="3F47353E" w14:textId="6CB5280F" w:rsidR="0036440D" w:rsidRPr="00DC4F35" w:rsidRDefault="003632A5" w:rsidP="009963C6">
      <w:pPr>
        <w:pStyle w:val="Punktopstilling"/>
        <w:numPr>
          <w:ilvl w:val="0"/>
          <w:numId w:val="24"/>
        </w:numPr>
      </w:pPr>
      <w:proofErr w:type="spellStart"/>
      <w:r w:rsidRPr="00DC4F35">
        <w:rPr>
          <w:b/>
          <w:bCs w:val="0"/>
        </w:rPr>
        <w:lastRenderedPageBreak/>
        <w:t>Pseudonymiserede</w:t>
      </w:r>
      <w:proofErr w:type="spellEnd"/>
      <w:r w:rsidRPr="00DC4F35">
        <w:rPr>
          <w:b/>
          <w:bCs w:val="0"/>
        </w:rPr>
        <w:t xml:space="preserve"> b</w:t>
      </w:r>
      <w:r w:rsidR="0036440D" w:rsidRPr="00DC4F35">
        <w:rPr>
          <w:b/>
          <w:bCs w:val="0"/>
        </w:rPr>
        <w:t>rugs-/logoplysninger</w:t>
      </w:r>
      <w:r w:rsidRPr="00DC4F35">
        <w:t xml:space="preserve"> i </w:t>
      </w:r>
      <w:proofErr w:type="spellStart"/>
      <w:r w:rsidRPr="00DC4F35">
        <w:t>Diagnostic</w:t>
      </w:r>
      <w:proofErr w:type="spellEnd"/>
      <w:r w:rsidRPr="00DC4F35">
        <w:t xml:space="preserve"> Data og System-</w:t>
      </w:r>
      <w:proofErr w:type="spellStart"/>
      <w:r w:rsidRPr="00DC4F35">
        <w:t>Generated</w:t>
      </w:r>
      <w:proofErr w:type="spellEnd"/>
      <w:r w:rsidRPr="00DC4F35">
        <w:t xml:space="preserve"> Logs</w:t>
      </w:r>
      <w:r w:rsidR="00035D13" w:rsidRPr="00DC4F35">
        <w:t>.</w:t>
      </w:r>
    </w:p>
    <w:p w14:paraId="71A162B0" w14:textId="3595EF3E" w:rsidR="0036440D" w:rsidRPr="00DC4F35" w:rsidRDefault="0036440D" w:rsidP="009963C6">
      <w:pPr>
        <w:pStyle w:val="Punktopstilling"/>
        <w:numPr>
          <w:ilvl w:val="0"/>
          <w:numId w:val="24"/>
        </w:numPr>
        <w:tabs>
          <w:tab w:val="clear" w:pos="964"/>
        </w:tabs>
      </w:pPr>
      <w:r w:rsidRPr="00DC4F35">
        <w:rPr>
          <w:b/>
          <w:bCs w:val="0"/>
        </w:rPr>
        <w:t>Tekniske oplysninger</w:t>
      </w:r>
      <w:r w:rsidRPr="00DC4F35">
        <w:t xml:space="preserve"> (MAC-adresse og </w:t>
      </w:r>
      <w:r w:rsidR="00B339C0" w:rsidRPr="00DC4F35">
        <w:t>De Dataansvarliges</w:t>
      </w:r>
      <w:r w:rsidRPr="00DC4F35">
        <w:t xml:space="preserve"> ip-adresse).</w:t>
      </w:r>
    </w:p>
    <w:p w14:paraId="5753E36F" w14:textId="18EFBD41" w:rsidR="0036440D" w:rsidRPr="00DC4F35" w:rsidRDefault="00ED6405" w:rsidP="00164DAE">
      <w:pPr>
        <w:jc w:val="left"/>
      </w:pPr>
      <w:r w:rsidRPr="00DC4F35">
        <w:t>Det bemærkes</w:t>
      </w:r>
      <w:r w:rsidR="00403BB8" w:rsidRPr="00DC4F35">
        <w:t>,</w:t>
      </w:r>
      <w:r w:rsidRPr="00DC4F35">
        <w:t xml:space="preserve"> at autentificeringen af </w:t>
      </w:r>
      <w:r w:rsidR="003632A5" w:rsidRPr="00DC4F35">
        <w:t>De Dataansvarliges</w:t>
      </w:r>
      <w:r w:rsidRPr="00DC4F35">
        <w:t xml:space="preserve"> ansatte, konsulenter og samarbejdspartnere sker via et </w:t>
      </w:r>
      <w:proofErr w:type="spellStart"/>
      <w:r w:rsidRPr="00DC4F35">
        <w:t>sikkerhedstoken</w:t>
      </w:r>
      <w:proofErr w:type="spellEnd"/>
      <w:r w:rsidRPr="00DC4F35">
        <w:t>, og behandlings</w:t>
      </w:r>
      <w:r w:rsidR="00403BB8" w:rsidRPr="00DC4F35">
        <w:t>aktiviteten</w:t>
      </w:r>
      <w:r w:rsidRPr="00DC4F35">
        <w:t xml:space="preserve"> </w:t>
      </w:r>
      <w:r w:rsidR="005F3191" w:rsidRPr="00DC4F35">
        <w:t xml:space="preserve">kræver </w:t>
      </w:r>
      <w:r w:rsidRPr="00DC4F35">
        <w:t>derfor ikke behandling af kodeord</w:t>
      </w:r>
      <w:r w:rsidR="00403BB8" w:rsidRPr="00DC4F35">
        <w:t xml:space="preserve">. </w:t>
      </w:r>
    </w:p>
    <w:p w14:paraId="48490FEF" w14:textId="77777777" w:rsidR="0036440D" w:rsidRPr="00DC4F35" w:rsidRDefault="0036440D" w:rsidP="0036440D"/>
    <w:p w14:paraId="2B253ED2" w14:textId="62C52E51" w:rsidR="005C0DA6" w:rsidRPr="00DC4F35" w:rsidRDefault="005F3191" w:rsidP="0036440D">
      <w:r w:rsidRPr="00DC4F35">
        <w:t>De personoplysninger</w:t>
      </w:r>
      <w:r w:rsidR="00732FBF" w:rsidRPr="00DC4F35">
        <w:t>,</w:t>
      </w:r>
      <w:r w:rsidRPr="00DC4F35">
        <w:t xml:space="preserve"> der overføres i </w:t>
      </w:r>
      <w:proofErr w:type="spellStart"/>
      <w:r w:rsidRPr="00DC4F35">
        <w:t>pseudonymiseret</w:t>
      </w:r>
      <w:proofErr w:type="spellEnd"/>
      <w:r w:rsidRPr="00DC4F35">
        <w:t xml:space="preserve"> </w:t>
      </w:r>
      <w:r w:rsidR="00957DA4" w:rsidRPr="00DC4F35">
        <w:t>logs og diagnostiske data</w:t>
      </w:r>
      <w:r w:rsidR="00732FBF" w:rsidRPr="00DC4F35">
        <w:t>,</w:t>
      </w:r>
      <w:r w:rsidRPr="00DC4F35">
        <w:t xml:space="preserve"> vil hovedsageligt vedrøre De Dataansvarliges nuværende ansatte i forbindelse med disses brug af Microsoft 365. </w:t>
      </w:r>
      <w:r w:rsidR="00D161ED" w:rsidRPr="00DC4F35">
        <w:rPr>
          <w:iCs/>
        </w:rPr>
        <w:t>Det omfatter i alt cirka 40.000 brugere</w:t>
      </w:r>
      <w:r w:rsidR="00D161ED" w:rsidRPr="00DC4F35">
        <w:t xml:space="preserve"> på nuværende tidspunkt. Der kan dog også ske overførsel af personoplysninger om borgere eller oplysninger om ansatte</w:t>
      </w:r>
      <w:r w:rsidR="00732FBF" w:rsidRPr="00DC4F35">
        <w:t>,</w:t>
      </w:r>
      <w:r w:rsidR="00D161ED" w:rsidRPr="00DC4F35">
        <w:t xml:space="preserve"> der ikke vedrører disses brug af systemet</w:t>
      </w:r>
      <w:r w:rsidR="00732FBF" w:rsidRPr="00DC4F35">
        <w:t>,</w:t>
      </w:r>
      <w:r w:rsidR="00D161ED" w:rsidRPr="00DC4F35">
        <w:t xml:space="preserve"> men i stedet personalemæssige forhold. </w:t>
      </w:r>
      <w:r w:rsidR="00582B24" w:rsidRPr="00DC4F35">
        <w:t xml:space="preserve">Hyppigheden af disse overførsler afhænger af brugen af systemet. </w:t>
      </w:r>
    </w:p>
    <w:p w14:paraId="1A9650DE" w14:textId="77777777" w:rsidR="0036440D" w:rsidRPr="00DC4F35" w:rsidRDefault="0036440D" w:rsidP="0036440D"/>
    <w:p w14:paraId="1C09D435" w14:textId="1E822333" w:rsidR="0036440D" w:rsidRPr="00DC4F35" w:rsidRDefault="00085B08" w:rsidP="0036440D">
      <w:r w:rsidRPr="00DC4F35">
        <w:t xml:space="preserve">I det følgende beskrives det, </w:t>
      </w:r>
      <w:r w:rsidR="0036440D" w:rsidRPr="00DC4F35">
        <w:t xml:space="preserve">hvilke af ovenstående personoplysninger som vil </w:t>
      </w:r>
      <w:r w:rsidR="002538F8" w:rsidRPr="00DC4F35">
        <w:t xml:space="preserve">kunne </w:t>
      </w:r>
      <w:r w:rsidR="0036440D" w:rsidRPr="00DC4F35">
        <w:t>blive overført til Microsoft</w:t>
      </w:r>
      <w:r w:rsidR="001600F2" w:rsidRPr="00DC4F35">
        <w:t xml:space="preserve"> Irelands</w:t>
      </w:r>
      <w:r w:rsidR="0036440D" w:rsidRPr="00DC4F35">
        <w:t xml:space="preserve"> underdatabehandler</w:t>
      </w:r>
      <w:r w:rsidR="00957DA4" w:rsidRPr="00DC4F35">
        <w:t>e</w:t>
      </w:r>
      <w:r w:rsidR="0036440D" w:rsidRPr="00DC4F35">
        <w:t xml:space="preserve"> i tredjelande</w:t>
      </w:r>
      <w:r w:rsidRPr="00DC4F35">
        <w:t xml:space="preserve"> </w:t>
      </w:r>
      <w:r w:rsidR="0067609F" w:rsidRPr="00DC4F35">
        <w:t xml:space="preserve">som følge af Microsoft Irelands levering af tjenesterne og services som databehandler </w:t>
      </w:r>
      <w:r w:rsidRPr="00DC4F35">
        <w:t>(tilsigtede overførsler).</w:t>
      </w:r>
    </w:p>
    <w:p w14:paraId="7555676B" w14:textId="77777777" w:rsidR="0036440D" w:rsidRPr="00DC4F35" w:rsidRDefault="0036440D" w:rsidP="0036440D">
      <w:pPr>
        <w:rPr>
          <w:rFonts w:cstheme="minorHAnsi"/>
          <w:color w:val="FF0000"/>
        </w:rPr>
      </w:pPr>
    </w:p>
    <w:p w14:paraId="68763DA9" w14:textId="46D83CE6" w:rsidR="00795451" w:rsidRPr="00DC4F35" w:rsidRDefault="00795451" w:rsidP="00795451">
      <w:pPr>
        <w:pStyle w:val="Overskrift3"/>
      </w:pPr>
      <w:bookmarkStart w:id="34" w:name="_Ref167400343"/>
      <w:bookmarkStart w:id="35" w:name="_Toc170824029"/>
      <w:r w:rsidRPr="00DC4F35">
        <w:t>Tilsigtede overførsler til underdatabehandlere uden</w:t>
      </w:r>
      <w:r w:rsidR="00375A31" w:rsidRPr="00DC4F35">
        <w:t xml:space="preserve"> </w:t>
      </w:r>
      <w:r w:rsidRPr="00DC4F35">
        <w:t xml:space="preserve">for EU/EØS, hvor der sker overladelse til underdatabehandlere i tredjelande i forbindelse med levering af applikationer og cloudtjenester (undtagelser til EU Data </w:t>
      </w:r>
      <w:proofErr w:type="spellStart"/>
      <w:r w:rsidRPr="00DC4F35">
        <w:t>Boundary</w:t>
      </w:r>
      <w:proofErr w:type="spellEnd"/>
      <w:r w:rsidRPr="00DC4F35">
        <w:t>)</w:t>
      </w:r>
      <w:bookmarkEnd w:id="34"/>
      <w:bookmarkEnd w:id="35"/>
    </w:p>
    <w:p w14:paraId="03A35BD8" w14:textId="60AC9ADE" w:rsidR="00C11326" w:rsidRPr="00DC4F35" w:rsidRDefault="0036440D" w:rsidP="0036440D">
      <w:pPr>
        <w:rPr>
          <w:rFonts w:cstheme="minorHAnsi"/>
        </w:rPr>
      </w:pPr>
      <w:r w:rsidRPr="00DC4F35">
        <w:rPr>
          <w:rFonts w:cstheme="minorHAnsi"/>
        </w:rPr>
        <w:t xml:space="preserve">Microsoft </w:t>
      </w:r>
      <w:r w:rsidR="00732B4E" w:rsidRPr="00DC4F35">
        <w:rPr>
          <w:rFonts w:cstheme="minorHAnsi"/>
        </w:rPr>
        <w:t xml:space="preserve">Ireland </w:t>
      </w:r>
      <w:r w:rsidRPr="00DC4F35">
        <w:rPr>
          <w:rFonts w:cstheme="minorHAnsi"/>
        </w:rPr>
        <w:t xml:space="preserve">angiver i sin </w:t>
      </w:r>
      <w:r w:rsidR="00957DA4" w:rsidRPr="00DC4F35">
        <w:rPr>
          <w:rFonts w:cstheme="minorHAnsi"/>
        </w:rPr>
        <w:t xml:space="preserve">EU Data </w:t>
      </w:r>
      <w:proofErr w:type="spellStart"/>
      <w:r w:rsidR="00957DA4" w:rsidRPr="00DC4F35">
        <w:rPr>
          <w:rFonts w:cstheme="minorHAnsi"/>
        </w:rPr>
        <w:t>Boundary</w:t>
      </w:r>
      <w:proofErr w:type="spellEnd"/>
      <w:r w:rsidRPr="00DC4F35">
        <w:rPr>
          <w:rFonts w:cstheme="minorHAnsi"/>
        </w:rPr>
        <w:t xml:space="preserve"> do</w:t>
      </w:r>
      <w:r w:rsidR="000B1A6F" w:rsidRPr="00DC4F35">
        <w:rPr>
          <w:rFonts w:cstheme="minorHAnsi"/>
        </w:rPr>
        <w:t>k</w:t>
      </w:r>
      <w:r w:rsidRPr="00DC4F35">
        <w:rPr>
          <w:rFonts w:cstheme="minorHAnsi"/>
        </w:rPr>
        <w:t xml:space="preserve">umentation vedrørende EU Data </w:t>
      </w:r>
      <w:proofErr w:type="spellStart"/>
      <w:r w:rsidRPr="00DC4F35">
        <w:rPr>
          <w:rFonts w:cstheme="minorHAnsi"/>
        </w:rPr>
        <w:t>Boundary</w:t>
      </w:r>
      <w:proofErr w:type="spellEnd"/>
      <w:r w:rsidRPr="00DC4F35">
        <w:rPr>
          <w:rFonts w:cstheme="minorHAnsi"/>
        </w:rPr>
        <w:t>, hvilke kategorier af data som Microsoft</w:t>
      </w:r>
      <w:r w:rsidR="00732B4E" w:rsidRPr="00DC4F35">
        <w:rPr>
          <w:rFonts w:cstheme="minorHAnsi"/>
        </w:rPr>
        <w:t xml:space="preserve"> Ireland</w:t>
      </w:r>
      <w:r w:rsidRPr="00DC4F35">
        <w:rPr>
          <w:rFonts w:cstheme="minorHAnsi"/>
        </w:rPr>
        <w:t xml:space="preserve"> vil eller kan overføre i forbindelse med de specifikke undtagelser. Microsoft </w:t>
      </w:r>
      <w:r w:rsidR="00732B4E" w:rsidRPr="00DC4F35">
        <w:rPr>
          <w:rFonts w:cstheme="minorHAnsi"/>
        </w:rPr>
        <w:t xml:space="preserve">Ireland </w:t>
      </w:r>
      <w:r w:rsidRPr="00DC4F35">
        <w:rPr>
          <w:rFonts w:cstheme="minorHAnsi"/>
        </w:rPr>
        <w:t>oplyser dette med henvisning til Microsoft</w:t>
      </w:r>
      <w:r w:rsidR="00732B4E" w:rsidRPr="00DC4F35">
        <w:rPr>
          <w:rFonts w:cstheme="minorHAnsi"/>
        </w:rPr>
        <w:t xml:space="preserve"> Irelands</w:t>
      </w:r>
      <w:r w:rsidRPr="00DC4F35">
        <w:rPr>
          <w:rFonts w:cstheme="minorHAnsi"/>
        </w:rPr>
        <w:t xml:space="preserve"> egne datakategorier. </w:t>
      </w:r>
      <w:r w:rsidRPr="00DC4F35">
        <w:t xml:space="preserve">Definitionen af Microsofts datakategorier er gennemgået </w:t>
      </w:r>
      <w:r w:rsidR="005C3A05" w:rsidRPr="00DC4F35">
        <w:t xml:space="preserve">ovenfor i afsnit </w:t>
      </w:r>
      <w:r w:rsidR="00DB5315" w:rsidRPr="00DC4F35">
        <w:fldChar w:fldCharType="begin"/>
      </w:r>
      <w:r w:rsidR="00DB5315" w:rsidRPr="00DC4F35">
        <w:instrText xml:space="preserve"> REF _Ref167400226 \r \h </w:instrText>
      </w:r>
      <w:r w:rsidR="00DB5315" w:rsidRPr="00DC4F35">
        <w:fldChar w:fldCharType="separate"/>
      </w:r>
      <w:r w:rsidR="00C05EBE">
        <w:t>3.2.1</w:t>
      </w:r>
      <w:r w:rsidR="00DB5315" w:rsidRPr="00DC4F35">
        <w:fldChar w:fldCharType="end"/>
      </w:r>
      <w:r w:rsidRPr="00DC4F35">
        <w:t xml:space="preserve">. </w:t>
      </w:r>
    </w:p>
    <w:p w14:paraId="239C9E5F" w14:textId="77777777" w:rsidR="0036440D" w:rsidRPr="00DC4F35" w:rsidRDefault="0036440D" w:rsidP="0036440D">
      <w:pPr>
        <w:rPr>
          <w:rFonts w:cstheme="minorHAnsi"/>
        </w:rPr>
      </w:pPr>
    </w:p>
    <w:tbl>
      <w:tblPr>
        <w:tblStyle w:val="Tabel-Gitter"/>
        <w:tblW w:w="9776" w:type="dxa"/>
        <w:tblLook w:val="04A0" w:firstRow="1" w:lastRow="0" w:firstColumn="1" w:lastColumn="0" w:noHBand="0" w:noVBand="1"/>
      </w:tblPr>
      <w:tblGrid>
        <w:gridCol w:w="3823"/>
        <w:gridCol w:w="5953"/>
      </w:tblGrid>
      <w:tr w:rsidR="0036440D" w:rsidRPr="00DC4F35" w14:paraId="37790A5E" w14:textId="77777777" w:rsidTr="00C83C91">
        <w:tc>
          <w:tcPr>
            <w:tcW w:w="3823" w:type="dxa"/>
            <w:shd w:val="clear" w:color="auto" w:fill="A6B8BE" w:themeFill="accent1" w:themeFillTint="99"/>
          </w:tcPr>
          <w:p w14:paraId="4A745DA1" w14:textId="77777777" w:rsidR="0036440D" w:rsidRPr="00DC4F35" w:rsidRDefault="0036440D" w:rsidP="00C83C91">
            <w:pPr>
              <w:rPr>
                <w:b/>
                <w:bCs/>
                <w:lang w:eastAsia="da-DK"/>
              </w:rPr>
            </w:pPr>
            <w:r w:rsidRPr="00DC4F35">
              <w:rPr>
                <w:b/>
                <w:bCs/>
                <w:lang w:eastAsia="da-DK"/>
              </w:rPr>
              <w:t>Overførsel</w:t>
            </w:r>
          </w:p>
        </w:tc>
        <w:tc>
          <w:tcPr>
            <w:tcW w:w="5953" w:type="dxa"/>
            <w:shd w:val="clear" w:color="auto" w:fill="A6B8BE" w:themeFill="accent1" w:themeFillTint="99"/>
          </w:tcPr>
          <w:p w14:paraId="6D38CF63" w14:textId="77777777" w:rsidR="0036440D" w:rsidRPr="00DC4F35" w:rsidRDefault="0036440D" w:rsidP="00C83C91">
            <w:pPr>
              <w:rPr>
                <w:b/>
                <w:bCs/>
                <w:lang w:eastAsia="da-DK"/>
              </w:rPr>
            </w:pPr>
            <w:r w:rsidRPr="00DC4F35">
              <w:rPr>
                <w:b/>
                <w:bCs/>
                <w:lang w:eastAsia="da-DK"/>
              </w:rPr>
              <w:t>Data</w:t>
            </w:r>
          </w:p>
        </w:tc>
      </w:tr>
      <w:tr w:rsidR="0036440D" w:rsidRPr="00D87AC5" w14:paraId="4E640BAF" w14:textId="77777777" w:rsidTr="00C83C91">
        <w:trPr>
          <w:trHeight w:val="1563"/>
        </w:trPr>
        <w:tc>
          <w:tcPr>
            <w:tcW w:w="3823" w:type="dxa"/>
          </w:tcPr>
          <w:p w14:paraId="398F864D" w14:textId="7C1C52B3" w:rsidR="0036440D" w:rsidRPr="00DC4F35" w:rsidRDefault="00C11326" w:rsidP="00C83C91">
            <w:pPr>
              <w:rPr>
                <w:i/>
                <w:iCs/>
                <w:lang w:eastAsia="da-DK"/>
              </w:rPr>
            </w:pPr>
            <w:r w:rsidRPr="00DC4F35">
              <w:t xml:space="preserve">Overførsel med henblik på opretholdelse af services (Remote </w:t>
            </w:r>
            <w:proofErr w:type="spellStart"/>
            <w:r w:rsidRPr="00DC4F35">
              <w:t>access</w:t>
            </w:r>
            <w:proofErr w:type="spellEnd"/>
            <w:r w:rsidRPr="00DC4F35">
              <w:t>)</w:t>
            </w:r>
          </w:p>
        </w:tc>
        <w:tc>
          <w:tcPr>
            <w:tcW w:w="5953" w:type="dxa"/>
          </w:tcPr>
          <w:p w14:paraId="573D7322" w14:textId="28422F97" w:rsidR="00E64DD0" w:rsidRPr="00DC4F35" w:rsidRDefault="00C37A35" w:rsidP="00C83C91">
            <w:pPr>
              <w:rPr>
                <w:lang w:eastAsia="da-DK"/>
              </w:rPr>
            </w:pPr>
            <w:r w:rsidRPr="00DC4F35">
              <w:rPr>
                <w:lang w:eastAsia="da-DK"/>
              </w:rPr>
              <w:t xml:space="preserve">Customer Data og </w:t>
            </w:r>
            <w:proofErr w:type="spellStart"/>
            <w:r w:rsidRPr="00DC4F35">
              <w:rPr>
                <w:lang w:eastAsia="da-DK"/>
              </w:rPr>
              <w:t>pseudonymiserede</w:t>
            </w:r>
            <w:proofErr w:type="spellEnd"/>
            <w:r w:rsidRPr="00DC4F35">
              <w:rPr>
                <w:lang w:eastAsia="da-DK"/>
              </w:rPr>
              <w:t xml:space="preserve"> personoplysninger:</w:t>
            </w:r>
          </w:p>
          <w:p w14:paraId="43FC00E8" w14:textId="77777777" w:rsidR="00C37A35" w:rsidRPr="00DC4F35" w:rsidRDefault="00C37A35" w:rsidP="00C83C91">
            <w:pPr>
              <w:rPr>
                <w:lang w:eastAsia="da-DK"/>
              </w:rPr>
            </w:pPr>
          </w:p>
          <w:p w14:paraId="2317C9B9" w14:textId="207FA515" w:rsidR="00997A6E" w:rsidRPr="001C19E7" w:rsidRDefault="00997A6E" w:rsidP="00997A6E">
            <w:pPr>
              <w:rPr>
                <w:i/>
                <w:iCs/>
                <w:lang w:val="en-US" w:eastAsia="da-DK"/>
              </w:rPr>
            </w:pPr>
            <w:r w:rsidRPr="001C19E7">
              <w:rPr>
                <w:i/>
                <w:iCs/>
                <w:lang w:val="en-US" w:eastAsia="da-DK"/>
              </w:rPr>
              <w:t xml:space="preserve">“[…] remote access to </w:t>
            </w:r>
            <w:r w:rsidRPr="001C19E7">
              <w:rPr>
                <w:b/>
                <w:bCs/>
                <w:i/>
                <w:iCs/>
                <w:lang w:val="en-US" w:eastAsia="da-DK"/>
              </w:rPr>
              <w:t>Customer Data and pseudonymized personal data</w:t>
            </w:r>
            <w:r w:rsidRPr="001C19E7">
              <w:rPr>
                <w:i/>
                <w:iCs/>
                <w:lang w:val="en-US" w:eastAsia="da-DK"/>
              </w:rPr>
              <w:t xml:space="preserve"> […].”</w:t>
            </w:r>
          </w:p>
          <w:p w14:paraId="6420A36E" w14:textId="77777777" w:rsidR="00997A6E" w:rsidRPr="001C19E7" w:rsidRDefault="00997A6E" w:rsidP="00C83C91">
            <w:pPr>
              <w:rPr>
                <w:lang w:val="en-US" w:eastAsia="da-DK"/>
              </w:rPr>
            </w:pPr>
          </w:p>
          <w:p w14:paraId="452CB8A7" w14:textId="3415DF48" w:rsidR="00E64DD0" w:rsidRPr="001C19E7" w:rsidRDefault="00E64DD0" w:rsidP="00E64DD0">
            <w:pPr>
              <w:rPr>
                <w:i/>
                <w:iCs/>
                <w:lang w:val="en-US" w:eastAsia="da-DK"/>
              </w:rPr>
            </w:pPr>
            <w:r w:rsidRPr="001C19E7">
              <w:rPr>
                <w:i/>
                <w:iCs/>
                <w:lang w:val="en-US" w:eastAsia="da-DK"/>
              </w:rPr>
              <w:t xml:space="preserve">“In rare cases when a service is down or in need of a repair that can’t be effectuated with automated tooling, authorized Microsoft personnel may require remote access to data stored within the EU Data Boundary, </w:t>
            </w:r>
            <w:r w:rsidRPr="001C19E7">
              <w:rPr>
                <w:b/>
                <w:bCs/>
                <w:i/>
                <w:iCs/>
                <w:lang w:val="en-US" w:eastAsia="da-DK"/>
              </w:rPr>
              <w:t>including Customer Data</w:t>
            </w:r>
            <w:r w:rsidRPr="001C19E7">
              <w:rPr>
                <w:i/>
                <w:iCs/>
                <w:lang w:val="en-US" w:eastAsia="da-DK"/>
              </w:rPr>
              <w:t xml:space="preserve">. There's no default access to </w:t>
            </w:r>
            <w:r w:rsidRPr="001C19E7">
              <w:rPr>
                <w:b/>
                <w:bCs/>
                <w:i/>
                <w:iCs/>
                <w:lang w:val="en-US" w:eastAsia="da-DK"/>
              </w:rPr>
              <w:t>Customer Data</w:t>
            </w:r>
            <w:r w:rsidRPr="001C19E7">
              <w:rPr>
                <w:i/>
                <w:iCs/>
                <w:lang w:val="en-US" w:eastAsia="da-DK"/>
              </w:rPr>
              <w:t>; access is provided to Microsoft personnel only when a task requires it.”</w:t>
            </w:r>
          </w:p>
          <w:p w14:paraId="259AC641" w14:textId="77777777" w:rsidR="00B03F6F" w:rsidRPr="001C19E7" w:rsidRDefault="00B03F6F" w:rsidP="00E64DD0">
            <w:pPr>
              <w:rPr>
                <w:i/>
                <w:iCs/>
                <w:lang w:val="en-US" w:eastAsia="da-DK"/>
              </w:rPr>
            </w:pPr>
          </w:p>
          <w:p w14:paraId="30306E94" w14:textId="63D42967" w:rsidR="0036440D" w:rsidRPr="001C19E7" w:rsidRDefault="00B03F6F" w:rsidP="00C83C91">
            <w:pPr>
              <w:rPr>
                <w:lang w:val="en-US" w:eastAsia="da-DK"/>
              </w:rPr>
            </w:pPr>
            <w:r w:rsidRPr="001C19E7">
              <w:rPr>
                <w:i/>
                <w:iCs/>
                <w:lang w:val="en-US" w:eastAsia="da-DK"/>
              </w:rPr>
              <w:t xml:space="preserve">“Currently, to access </w:t>
            </w:r>
            <w:r w:rsidRPr="001C19E7">
              <w:rPr>
                <w:b/>
                <w:bCs/>
                <w:i/>
                <w:iCs/>
                <w:lang w:val="en-US" w:eastAsia="da-DK"/>
              </w:rPr>
              <w:t>pseudonymized personal data</w:t>
            </w:r>
            <w:r w:rsidRPr="001C19E7">
              <w:rPr>
                <w:i/>
                <w:iCs/>
                <w:lang w:val="en-US" w:eastAsia="da-DK"/>
              </w:rPr>
              <w:t xml:space="preserve"> stored in the EU Data Boundary, Microsoft personnel may use either a SAW or a virtual desktop infrastructure (VDI).”</w:t>
            </w:r>
          </w:p>
          <w:p w14:paraId="4D0EDDE9" w14:textId="1EE895B8" w:rsidR="0036440D" w:rsidRPr="001C19E7" w:rsidRDefault="0036440D" w:rsidP="00C83C91">
            <w:pPr>
              <w:rPr>
                <w:lang w:val="en-US" w:eastAsia="da-DK"/>
              </w:rPr>
            </w:pPr>
          </w:p>
        </w:tc>
      </w:tr>
      <w:tr w:rsidR="0036440D" w:rsidRPr="00DC4F35" w14:paraId="0D28159B" w14:textId="77777777" w:rsidTr="00C83C91">
        <w:trPr>
          <w:trHeight w:val="1563"/>
        </w:trPr>
        <w:tc>
          <w:tcPr>
            <w:tcW w:w="3823" w:type="dxa"/>
          </w:tcPr>
          <w:p w14:paraId="6F2122D2" w14:textId="7AE4D770" w:rsidR="0036440D" w:rsidRPr="00DC4F35" w:rsidRDefault="00C11326" w:rsidP="00C83C91">
            <w:pPr>
              <w:rPr>
                <w:lang w:eastAsia="da-DK"/>
              </w:rPr>
            </w:pPr>
            <w:proofErr w:type="spellStart"/>
            <w:r w:rsidRPr="00DC4F35">
              <w:lastRenderedPageBreak/>
              <w:t>Protecting</w:t>
            </w:r>
            <w:proofErr w:type="spellEnd"/>
            <w:r w:rsidRPr="00DC4F35">
              <w:t xml:space="preserve"> </w:t>
            </w:r>
            <w:proofErr w:type="spellStart"/>
            <w:r w:rsidRPr="00DC4F35">
              <w:t>customers</w:t>
            </w:r>
            <w:proofErr w:type="spellEnd"/>
            <w:r w:rsidR="00C37A35" w:rsidRPr="00DC4F35">
              <w:t xml:space="preserve"> (både fjernadgang og fysisk overførsel)</w:t>
            </w:r>
          </w:p>
        </w:tc>
        <w:tc>
          <w:tcPr>
            <w:tcW w:w="5953" w:type="dxa"/>
          </w:tcPr>
          <w:p w14:paraId="7951E112" w14:textId="5351A10E" w:rsidR="00C37A35" w:rsidRPr="00DC4F35" w:rsidRDefault="00C37A35" w:rsidP="00C83C91">
            <w:pPr>
              <w:rPr>
                <w:lang w:eastAsia="da-DK"/>
              </w:rPr>
            </w:pPr>
            <w:r w:rsidRPr="00DC4F35">
              <w:rPr>
                <w:lang w:eastAsia="da-DK"/>
              </w:rPr>
              <w:t xml:space="preserve">Customer Data og </w:t>
            </w:r>
            <w:proofErr w:type="spellStart"/>
            <w:r w:rsidRPr="00DC4F35">
              <w:rPr>
                <w:lang w:eastAsia="da-DK"/>
              </w:rPr>
              <w:t>pseudonymiserede</w:t>
            </w:r>
            <w:proofErr w:type="spellEnd"/>
            <w:r w:rsidRPr="00DC4F35">
              <w:rPr>
                <w:lang w:eastAsia="da-DK"/>
              </w:rPr>
              <w:t xml:space="preserve"> personoplysninger i begrænset omfang</w:t>
            </w:r>
            <w:r w:rsidR="00162208" w:rsidRPr="00DC4F35">
              <w:rPr>
                <w:lang w:eastAsia="da-DK"/>
              </w:rPr>
              <w:t xml:space="preserve"> samt System-</w:t>
            </w:r>
            <w:proofErr w:type="spellStart"/>
            <w:r w:rsidR="00162208" w:rsidRPr="00DC4F35">
              <w:rPr>
                <w:lang w:eastAsia="da-DK"/>
              </w:rPr>
              <w:t>Generated</w:t>
            </w:r>
            <w:proofErr w:type="spellEnd"/>
            <w:r w:rsidR="00162208" w:rsidRPr="00DC4F35">
              <w:rPr>
                <w:lang w:eastAsia="da-DK"/>
              </w:rPr>
              <w:t xml:space="preserve"> Logs, </w:t>
            </w:r>
            <w:proofErr w:type="spellStart"/>
            <w:r w:rsidR="00162208" w:rsidRPr="00DC4F35">
              <w:rPr>
                <w:lang w:eastAsia="da-DK"/>
              </w:rPr>
              <w:t>Diagnostic</w:t>
            </w:r>
            <w:proofErr w:type="spellEnd"/>
            <w:r w:rsidR="00162208" w:rsidRPr="00DC4F35">
              <w:rPr>
                <w:lang w:eastAsia="da-DK"/>
              </w:rPr>
              <w:t xml:space="preserve"> Data og aggregerede data:</w:t>
            </w:r>
          </w:p>
          <w:p w14:paraId="6728A728" w14:textId="77777777" w:rsidR="00C37A35" w:rsidRPr="00DC4F35" w:rsidRDefault="00C37A35" w:rsidP="00C83C91">
            <w:pPr>
              <w:rPr>
                <w:lang w:eastAsia="da-DK"/>
              </w:rPr>
            </w:pPr>
          </w:p>
          <w:p w14:paraId="3CB94BA9" w14:textId="63BF6C3D" w:rsidR="00070905" w:rsidRPr="001C19E7" w:rsidRDefault="00162208" w:rsidP="00C83C91">
            <w:pPr>
              <w:rPr>
                <w:b/>
                <w:bCs/>
                <w:i/>
                <w:iCs/>
                <w:lang w:val="en-US" w:eastAsia="da-DK"/>
              </w:rPr>
            </w:pPr>
            <w:r w:rsidRPr="001C19E7">
              <w:rPr>
                <w:i/>
                <w:iCs/>
                <w:lang w:val="en-US" w:eastAsia="da-DK"/>
              </w:rPr>
              <w:t>“</w:t>
            </w:r>
            <w:r w:rsidR="00070905" w:rsidRPr="001C19E7">
              <w:rPr>
                <w:i/>
                <w:iCs/>
                <w:lang w:val="en-US" w:eastAsia="da-DK"/>
              </w:rPr>
              <w:t xml:space="preserve">Microsoft transfers […] </w:t>
            </w:r>
            <w:r w:rsidR="00070905" w:rsidRPr="001C19E7">
              <w:rPr>
                <w:b/>
                <w:bCs/>
                <w:i/>
                <w:iCs/>
                <w:lang w:val="en-US" w:eastAsia="da-DK"/>
              </w:rPr>
              <w:t>limited pseudonymized personal data</w:t>
            </w:r>
            <w:r w:rsidR="00070905" w:rsidRPr="001C19E7">
              <w:rPr>
                <w:i/>
                <w:iCs/>
                <w:lang w:val="en-US" w:eastAsia="da-DK"/>
              </w:rPr>
              <w:t xml:space="preserve"> outside of the EU Data Boundary and</w:t>
            </w:r>
            <w:r w:rsidR="00070905" w:rsidRPr="001C19E7">
              <w:rPr>
                <w:b/>
                <w:bCs/>
                <w:i/>
                <w:iCs/>
                <w:lang w:val="en-US" w:eastAsia="da-DK"/>
              </w:rPr>
              <w:t>, in rare situations, limited Customer Data</w:t>
            </w:r>
            <w:r w:rsidRPr="001C19E7">
              <w:rPr>
                <w:b/>
                <w:bCs/>
                <w:i/>
                <w:iCs/>
                <w:lang w:val="en-US" w:eastAsia="da-DK"/>
              </w:rPr>
              <w:t>”</w:t>
            </w:r>
          </w:p>
          <w:p w14:paraId="2C0A0645" w14:textId="77777777" w:rsidR="00070905" w:rsidRPr="001C19E7" w:rsidRDefault="00070905" w:rsidP="00C83C91">
            <w:pPr>
              <w:rPr>
                <w:i/>
                <w:iCs/>
                <w:lang w:val="en-US" w:eastAsia="da-DK"/>
              </w:rPr>
            </w:pPr>
          </w:p>
          <w:p w14:paraId="551A7DB5" w14:textId="1172D404" w:rsidR="00070905" w:rsidRPr="001C19E7" w:rsidRDefault="00162208" w:rsidP="00C83C91">
            <w:pPr>
              <w:rPr>
                <w:i/>
                <w:iCs/>
                <w:lang w:val="en-US" w:eastAsia="da-DK"/>
              </w:rPr>
            </w:pPr>
            <w:r w:rsidRPr="001C19E7">
              <w:rPr>
                <w:i/>
                <w:iCs/>
                <w:lang w:val="en-US" w:eastAsia="da-DK"/>
              </w:rPr>
              <w:t>“</w:t>
            </w:r>
            <w:r w:rsidR="00070905" w:rsidRPr="001C19E7">
              <w:rPr>
                <w:i/>
                <w:iCs/>
                <w:lang w:val="en-US" w:eastAsia="da-DK"/>
              </w:rPr>
              <w:t xml:space="preserve">[...] Microsoft relies on its advanced analytics capabilities, including artificial intelligence, to analyze </w:t>
            </w:r>
            <w:r w:rsidR="00070905" w:rsidRPr="001C19E7">
              <w:rPr>
                <w:b/>
                <w:bCs/>
                <w:i/>
                <w:iCs/>
                <w:lang w:val="en-US" w:eastAsia="da-DK"/>
              </w:rPr>
              <w:t>aggregate security-related data, including activity logs</w:t>
            </w:r>
            <w:r w:rsidR="00070905" w:rsidRPr="001C19E7">
              <w:rPr>
                <w:i/>
                <w:iCs/>
                <w:lang w:val="en-US" w:eastAsia="da-DK"/>
              </w:rPr>
              <w:t>, […]</w:t>
            </w:r>
            <w:r w:rsidRPr="001C19E7">
              <w:rPr>
                <w:i/>
                <w:iCs/>
                <w:lang w:val="en-US" w:eastAsia="da-DK"/>
              </w:rPr>
              <w:t>”</w:t>
            </w:r>
          </w:p>
          <w:p w14:paraId="78905FCA" w14:textId="77777777" w:rsidR="00070905" w:rsidRPr="001C19E7" w:rsidRDefault="00070905" w:rsidP="00C83C91">
            <w:pPr>
              <w:rPr>
                <w:i/>
                <w:iCs/>
                <w:lang w:val="en-US" w:eastAsia="da-DK"/>
              </w:rPr>
            </w:pPr>
          </w:p>
          <w:p w14:paraId="0768CABA" w14:textId="452E9F19" w:rsidR="00070905" w:rsidRPr="001C19E7" w:rsidRDefault="00162208" w:rsidP="00C83C91">
            <w:pPr>
              <w:rPr>
                <w:i/>
                <w:iCs/>
                <w:lang w:val="en-US" w:eastAsia="da-DK"/>
              </w:rPr>
            </w:pPr>
            <w:r w:rsidRPr="001C19E7">
              <w:rPr>
                <w:b/>
                <w:bCs/>
                <w:i/>
                <w:iCs/>
                <w:lang w:val="en-US" w:eastAsia="da-DK"/>
              </w:rPr>
              <w:t>“</w:t>
            </w:r>
            <w:r w:rsidR="00070905" w:rsidRPr="001C19E7">
              <w:rPr>
                <w:b/>
                <w:bCs/>
                <w:i/>
                <w:iCs/>
                <w:lang w:val="en-US" w:eastAsia="da-DK"/>
              </w:rPr>
              <w:t>Limited Customer Data</w:t>
            </w:r>
            <w:r w:rsidR="00070905" w:rsidRPr="001C19E7">
              <w:rPr>
                <w:i/>
                <w:iCs/>
                <w:lang w:val="en-US" w:eastAsia="da-DK"/>
              </w:rPr>
              <w:t xml:space="preserve"> and </w:t>
            </w:r>
            <w:r w:rsidR="00070905" w:rsidRPr="001C19E7">
              <w:rPr>
                <w:b/>
                <w:bCs/>
                <w:i/>
                <w:iCs/>
                <w:lang w:val="en-US" w:eastAsia="da-DK"/>
              </w:rPr>
              <w:t xml:space="preserve">globally consolidated pseudonymized personal data </w:t>
            </w:r>
            <w:r w:rsidR="00070905" w:rsidRPr="001C19E7">
              <w:rPr>
                <w:i/>
                <w:iCs/>
                <w:lang w:val="en-US" w:eastAsia="da-DK"/>
              </w:rPr>
              <w:t>is used to create statistical summaries […]</w:t>
            </w:r>
            <w:r w:rsidRPr="001C19E7">
              <w:rPr>
                <w:i/>
                <w:iCs/>
                <w:lang w:val="en-US" w:eastAsia="da-DK"/>
              </w:rPr>
              <w:t>”</w:t>
            </w:r>
          </w:p>
          <w:p w14:paraId="15FFB837" w14:textId="77777777" w:rsidR="006D39B1" w:rsidRPr="001C19E7" w:rsidRDefault="006D39B1" w:rsidP="00C83C91">
            <w:pPr>
              <w:rPr>
                <w:i/>
                <w:iCs/>
                <w:lang w:val="en-US" w:eastAsia="da-DK"/>
              </w:rPr>
            </w:pPr>
          </w:p>
          <w:p w14:paraId="690ABD8D" w14:textId="7B0298D9" w:rsidR="006D39B1" w:rsidRPr="001C19E7" w:rsidRDefault="00162208" w:rsidP="00C83C91">
            <w:pPr>
              <w:rPr>
                <w:i/>
                <w:iCs/>
                <w:lang w:val="en-US" w:eastAsia="da-DK"/>
              </w:rPr>
            </w:pPr>
            <w:r w:rsidRPr="001C19E7">
              <w:rPr>
                <w:i/>
                <w:iCs/>
                <w:lang w:val="en-US" w:eastAsia="da-DK"/>
              </w:rPr>
              <w:t>“</w:t>
            </w:r>
            <w:proofErr w:type="gramStart"/>
            <w:r w:rsidR="006D39B1" w:rsidRPr="001C19E7">
              <w:rPr>
                <w:i/>
                <w:iCs/>
                <w:lang w:val="en-US" w:eastAsia="da-DK"/>
              </w:rPr>
              <w:t>analysis</w:t>
            </w:r>
            <w:proofErr w:type="gramEnd"/>
            <w:r w:rsidR="006D39B1" w:rsidRPr="001C19E7">
              <w:rPr>
                <w:i/>
                <w:iCs/>
                <w:lang w:val="en-US" w:eastAsia="da-DK"/>
              </w:rPr>
              <w:t xml:space="preserve"> of </w:t>
            </w:r>
            <w:r w:rsidR="006D39B1" w:rsidRPr="001C19E7">
              <w:rPr>
                <w:b/>
                <w:bCs/>
                <w:i/>
                <w:iCs/>
                <w:lang w:val="en-US" w:eastAsia="da-DK"/>
              </w:rPr>
              <w:t>security-related system-generated logs</w:t>
            </w:r>
            <w:r w:rsidRPr="001C19E7">
              <w:rPr>
                <w:b/>
                <w:bCs/>
                <w:i/>
                <w:iCs/>
                <w:lang w:val="en-US" w:eastAsia="da-DK"/>
              </w:rPr>
              <w:t>”</w:t>
            </w:r>
          </w:p>
          <w:p w14:paraId="3708CD9A" w14:textId="77777777" w:rsidR="006D39B1" w:rsidRPr="001C19E7" w:rsidRDefault="006D39B1" w:rsidP="00C83C91">
            <w:pPr>
              <w:rPr>
                <w:i/>
                <w:iCs/>
                <w:lang w:val="en-US" w:eastAsia="da-DK"/>
              </w:rPr>
            </w:pPr>
          </w:p>
          <w:p w14:paraId="70EDA9A0" w14:textId="7ABC1E41" w:rsidR="006D39B1" w:rsidRPr="001C19E7" w:rsidRDefault="00162208" w:rsidP="00C83C91">
            <w:pPr>
              <w:rPr>
                <w:i/>
                <w:iCs/>
                <w:lang w:val="en-US" w:eastAsia="da-DK"/>
              </w:rPr>
            </w:pPr>
            <w:r w:rsidRPr="001C19E7">
              <w:rPr>
                <w:i/>
                <w:iCs/>
                <w:lang w:val="en-US" w:eastAsia="da-DK"/>
              </w:rPr>
              <w:t>“</w:t>
            </w:r>
            <w:proofErr w:type="gramStart"/>
            <w:r w:rsidR="006D39B1" w:rsidRPr="001C19E7">
              <w:rPr>
                <w:i/>
                <w:iCs/>
                <w:lang w:val="en-US" w:eastAsia="da-DK"/>
              </w:rPr>
              <w:t>process</w:t>
            </w:r>
            <w:proofErr w:type="gramEnd"/>
            <w:r w:rsidR="006D39B1" w:rsidRPr="001C19E7">
              <w:rPr>
                <w:i/>
                <w:iCs/>
                <w:lang w:val="en-US" w:eastAsia="da-DK"/>
              </w:rPr>
              <w:t xml:space="preserve"> and store data such as </w:t>
            </w:r>
            <w:r w:rsidR="006D39B1" w:rsidRPr="001C19E7">
              <w:rPr>
                <w:b/>
                <w:bCs/>
                <w:i/>
                <w:iCs/>
                <w:lang w:val="en-US" w:eastAsia="da-DK"/>
              </w:rPr>
              <w:t xml:space="preserve">Microsoft </w:t>
            </w:r>
            <w:proofErr w:type="spellStart"/>
            <w:r w:rsidR="006D39B1" w:rsidRPr="001C19E7">
              <w:rPr>
                <w:b/>
                <w:bCs/>
                <w:i/>
                <w:iCs/>
                <w:lang w:val="en-US" w:eastAsia="da-DK"/>
              </w:rPr>
              <w:t>Entra</w:t>
            </w:r>
            <w:proofErr w:type="spellEnd"/>
            <w:r w:rsidR="006D39B1" w:rsidRPr="001C19E7">
              <w:rPr>
                <w:b/>
                <w:bCs/>
                <w:i/>
                <w:iCs/>
                <w:lang w:val="en-US" w:eastAsia="da-DK"/>
              </w:rPr>
              <w:t xml:space="preserve"> authentication system-generated logs</w:t>
            </w:r>
            <w:r w:rsidR="006D39B1" w:rsidRPr="001C19E7">
              <w:rPr>
                <w:i/>
                <w:iCs/>
                <w:lang w:val="en-US" w:eastAsia="da-DK"/>
              </w:rPr>
              <w:t xml:space="preserve"> centrally across geos</w:t>
            </w:r>
            <w:r w:rsidRPr="001C19E7">
              <w:rPr>
                <w:i/>
                <w:iCs/>
                <w:lang w:val="en-US" w:eastAsia="da-DK"/>
              </w:rPr>
              <w:t>”</w:t>
            </w:r>
          </w:p>
          <w:p w14:paraId="5859E386" w14:textId="77777777" w:rsidR="006D39B1" w:rsidRPr="001C19E7" w:rsidRDefault="006D39B1" w:rsidP="00C83C91">
            <w:pPr>
              <w:rPr>
                <w:i/>
                <w:iCs/>
                <w:lang w:val="en-US" w:eastAsia="da-DK"/>
              </w:rPr>
            </w:pPr>
          </w:p>
          <w:p w14:paraId="7421F3A1" w14:textId="2982B979" w:rsidR="006D39B1" w:rsidRPr="001C19E7" w:rsidRDefault="00162208" w:rsidP="00C83C91">
            <w:pPr>
              <w:rPr>
                <w:i/>
                <w:iCs/>
                <w:lang w:val="en-US" w:eastAsia="da-DK"/>
              </w:rPr>
            </w:pPr>
            <w:r w:rsidRPr="001C19E7">
              <w:rPr>
                <w:i/>
                <w:iCs/>
                <w:lang w:val="en-US" w:eastAsia="da-DK"/>
              </w:rPr>
              <w:t>“</w:t>
            </w:r>
            <w:r w:rsidR="006D39B1" w:rsidRPr="001C19E7">
              <w:rPr>
                <w:i/>
                <w:iCs/>
                <w:lang w:val="en-US" w:eastAsia="da-DK"/>
              </w:rPr>
              <w:t xml:space="preserve">[…] Microsoft's security threat hunter teams limit ongoing transfers to </w:t>
            </w:r>
            <w:r w:rsidR="006D39B1" w:rsidRPr="001C19E7">
              <w:rPr>
                <w:b/>
                <w:bCs/>
                <w:i/>
                <w:iCs/>
                <w:lang w:val="en-US" w:eastAsia="da-DK"/>
              </w:rPr>
              <w:t>system-generated logs and service configuration information</w:t>
            </w:r>
            <w:r w:rsidR="006D39B1" w:rsidRPr="001C19E7">
              <w:rPr>
                <w:i/>
                <w:iCs/>
                <w:lang w:val="en-US" w:eastAsia="da-DK"/>
              </w:rPr>
              <w:t xml:space="preserve"> […]</w:t>
            </w:r>
            <w:r w:rsidRPr="001C19E7">
              <w:rPr>
                <w:i/>
                <w:iCs/>
                <w:lang w:val="en-US" w:eastAsia="da-DK"/>
              </w:rPr>
              <w:t>”</w:t>
            </w:r>
          </w:p>
          <w:p w14:paraId="0DE15088" w14:textId="77777777" w:rsidR="00FD13CC" w:rsidRPr="001C19E7" w:rsidRDefault="00FD13CC" w:rsidP="00C83C91">
            <w:pPr>
              <w:rPr>
                <w:i/>
                <w:iCs/>
                <w:lang w:val="en-US" w:eastAsia="da-DK"/>
              </w:rPr>
            </w:pPr>
          </w:p>
          <w:p w14:paraId="4F984773" w14:textId="6AB86470" w:rsidR="00FD13CC" w:rsidRPr="001C19E7" w:rsidRDefault="00162208" w:rsidP="00C83C91">
            <w:pPr>
              <w:rPr>
                <w:i/>
                <w:iCs/>
                <w:lang w:val="en-US" w:eastAsia="da-DK"/>
              </w:rPr>
            </w:pPr>
            <w:r w:rsidRPr="001C19E7">
              <w:rPr>
                <w:i/>
                <w:iCs/>
                <w:lang w:val="en-US" w:eastAsia="da-DK"/>
              </w:rPr>
              <w:t>“</w:t>
            </w:r>
            <w:r w:rsidR="00FD13CC" w:rsidRPr="001C19E7">
              <w:rPr>
                <w:i/>
                <w:iCs/>
                <w:lang w:val="en-US" w:eastAsia="da-DK"/>
              </w:rPr>
              <w:t xml:space="preserve">For example, when an </w:t>
            </w:r>
            <w:r w:rsidR="00FD13CC" w:rsidRPr="001C19E7">
              <w:rPr>
                <w:b/>
                <w:bCs/>
                <w:i/>
                <w:iCs/>
                <w:lang w:val="en-US" w:eastAsia="da-DK"/>
              </w:rPr>
              <w:t>IP address or phone number</w:t>
            </w:r>
            <w:r w:rsidR="00FD13CC" w:rsidRPr="001C19E7">
              <w:rPr>
                <w:i/>
                <w:iCs/>
                <w:lang w:val="en-US" w:eastAsia="da-DK"/>
              </w:rPr>
              <w:t xml:space="preserve"> is determined to be used in fraudulent activities, it is published globally to block access from any workloads using it.</w:t>
            </w:r>
            <w:r w:rsidRPr="001C19E7">
              <w:rPr>
                <w:i/>
                <w:iCs/>
                <w:lang w:val="en-US" w:eastAsia="da-DK"/>
              </w:rPr>
              <w:t>”</w:t>
            </w:r>
          </w:p>
          <w:p w14:paraId="4538384F" w14:textId="77777777" w:rsidR="00FD13CC" w:rsidRPr="001C19E7" w:rsidRDefault="00FD13CC" w:rsidP="00C83C91">
            <w:pPr>
              <w:rPr>
                <w:i/>
                <w:iCs/>
                <w:lang w:val="en-US" w:eastAsia="da-DK"/>
              </w:rPr>
            </w:pPr>
          </w:p>
          <w:p w14:paraId="40C39BA6" w14:textId="17D16A8A" w:rsidR="00FD13CC" w:rsidRPr="001C19E7" w:rsidRDefault="00162208" w:rsidP="00C83C91">
            <w:pPr>
              <w:rPr>
                <w:i/>
                <w:iCs/>
                <w:lang w:val="en-US" w:eastAsia="da-DK"/>
              </w:rPr>
            </w:pPr>
            <w:r w:rsidRPr="001C19E7">
              <w:rPr>
                <w:i/>
                <w:iCs/>
                <w:lang w:val="en-US" w:eastAsia="da-DK"/>
              </w:rPr>
              <w:t>“</w:t>
            </w:r>
            <w:r w:rsidR="00FD13CC" w:rsidRPr="001C19E7">
              <w:rPr>
                <w:i/>
                <w:iCs/>
                <w:lang w:val="en-US" w:eastAsia="da-DK"/>
              </w:rPr>
              <w:t xml:space="preserve">Security analysts access </w:t>
            </w:r>
            <w:r w:rsidR="00FD13CC" w:rsidRPr="001C19E7">
              <w:rPr>
                <w:b/>
                <w:bCs/>
                <w:i/>
                <w:iCs/>
                <w:lang w:val="en-US" w:eastAsia="da-DK"/>
              </w:rPr>
              <w:t>aggregated data</w:t>
            </w:r>
            <w:r w:rsidR="00FD13CC" w:rsidRPr="001C19E7">
              <w:rPr>
                <w:i/>
                <w:iCs/>
                <w:lang w:val="en-US" w:eastAsia="da-DK"/>
              </w:rPr>
              <w:t xml:space="preserve"> from locations around the globe, as MSRC has a follow-the-sun operation </w:t>
            </w:r>
            <w:r w:rsidR="00FD13CC" w:rsidRPr="001C19E7">
              <w:rPr>
                <w:i/>
                <w:iCs/>
                <w:lang w:val="en-US" w:eastAsia="da-DK"/>
              </w:rPr>
              <w:lastRenderedPageBreak/>
              <w:t>model, with distributed expertise and skills to provide continuous monitoring and response for security investigations […]</w:t>
            </w:r>
            <w:r w:rsidRPr="001C19E7">
              <w:rPr>
                <w:i/>
                <w:iCs/>
                <w:lang w:val="en-US" w:eastAsia="da-DK"/>
              </w:rPr>
              <w:t>”</w:t>
            </w:r>
          </w:p>
          <w:p w14:paraId="161F1543" w14:textId="77777777" w:rsidR="00FD13CC" w:rsidRPr="001C19E7" w:rsidRDefault="00FD13CC" w:rsidP="00C83C91">
            <w:pPr>
              <w:rPr>
                <w:i/>
                <w:iCs/>
                <w:lang w:val="en-US" w:eastAsia="da-DK"/>
              </w:rPr>
            </w:pPr>
          </w:p>
          <w:p w14:paraId="521CBECA" w14:textId="4D9F7029" w:rsidR="00FD13CC" w:rsidRPr="001C19E7" w:rsidRDefault="00162208" w:rsidP="00C83C91">
            <w:pPr>
              <w:rPr>
                <w:i/>
                <w:iCs/>
                <w:lang w:val="en-US" w:eastAsia="da-DK"/>
              </w:rPr>
            </w:pPr>
            <w:r w:rsidRPr="001C19E7">
              <w:rPr>
                <w:i/>
                <w:iCs/>
                <w:lang w:val="en-US" w:eastAsia="da-DK"/>
              </w:rPr>
              <w:t>“</w:t>
            </w:r>
            <w:r w:rsidR="00FD13CC" w:rsidRPr="001C19E7">
              <w:rPr>
                <w:i/>
                <w:iCs/>
                <w:lang w:val="en-US" w:eastAsia="da-DK"/>
              </w:rPr>
              <w:t xml:space="preserve">Data collected for security investigations may include </w:t>
            </w:r>
            <w:r w:rsidR="00FD13CC" w:rsidRPr="001C19E7">
              <w:rPr>
                <w:b/>
                <w:bCs/>
                <w:i/>
                <w:iCs/>
                <w:lang w:val="en-US" w:eastAsia="da-DK"/>
              </w:rPr>
              <w:t>pseudonymized personal data in system-generated logs</w:t>
            </w:r>
            <w:r w:rsidR="00FD13CC" w:rsidRPr="001C19E7">
              <w:rPr>
                <w:i/>
                <w:iCs/>
                <w:lang w:val="en-US" w:eastAsia="da-DK"/>
              </w:rPr>
              <w:t xml:space="preserve"> and </w:t>
            </w:r>
            <w:r w:rsidR="00FD13CC" w:rsidRPr="001C19E7">
              <w:rPr>
                <w:b/>
                <w:bCs/>
                <w:i/>
                <w:iCs/>
                <w:lang w:val="en-US" w:eastAsia="da-DK"/>
              </w:rPr>
              <w:t>limited Customer Data</w:t>
            </w:r>
            <w:r w:rsidR="00FD13CC" w:rsidRPr="001C19E7">
              <w:rPr>
                <w:i/>
                <w:iCs/>
                <w:lang w:val="en-US" w:eastAsia="da-DK"/>
              </w:rPr>
              <w:t>.</w:t>
            </w:r>
            <w:r w:rsidRPr="001C19E7">
              <w:rPr>
                <w:i/>
                <w:iCs/>
                <w:lang w:val="en-US" w:eastAsia="da-DK"/>
              </w:rPr>
              <w:t>”</w:t>
            </w:r>
          </w:p>
          <w:p w14:paraId="16593BE5" w14:textId="77777777" w:rsidR="00FD13CC" w:rsidRPr="001C19E7" w:rsidRDefault="00FD13CC" w:rsidP="00C83C91">
            <w:pPr>
              <w:rPr>
                <w:i/>
                <w:iCs/>
                <w:lang w:val="en-US" w:eastAsia="da-DK"/>
              </w:rPr>
            </w:pPr>
          </w:p>
          <w:p w14:paraId="6665E4D1" w14:textId="3D4AB0B4" w:rsidR="00FD13CC" w:rsidRPr="001C19E7" w:rsidRDefault="00162208" w:rsidP="00C83C91">
            <w:pPr>
              <w:rPr>
                <w:i/>
                <w:iCs/>
                <w:lang w:val="en-US" w:eastAsia="da-DK"/>
              </w:rPr>
            </w:pPr>
            <w:r w:rsidRPr="001C19E7">
              <w:rPr>
                <w:i/>
                <w:iCs/>
                <w:lang w:val="en-US" w:eastAsia="da-DK"/>
              </w:rPr>
              <w:t>“</w:t>
            </w:r>
            <w:r w:rsidR="00FD13CC" w:rsidRPr="001C19E7">
              <w:rPr>
                <w:i/>
                <w:iCs/>
                <w:lang w:val="en-US" w:eastAsia="da-DK"/>
              </w:rPr>
              <w:t>MSTIC [(Microsoft Threat Intelligence Center)] can identify malicious activity through globally consolidated s</w:t>
            </w:r>
            <w:r w:rsidR="00FD13CC" w:rsidRPr="001C19E7">
              <w:rPr>
                <w:b/>
                <w:bCs/>
                <w:i/>
                <w:iCs/>
                <w:lang w:val="en-US" w:eastAsia="da-DK"/>
              </w:rPr>
              <w:t>ystem-generated logs</w:t>
            </w:r>
            <w:r w:rsidR="00FD13CC" w:rsidRPr="001C19E7">
              <w:rPr>
                <w:i/>
                <w:iCs/>
                <w:lang w:val="en-US" w:eastAsia="da-DK"/>
              </w:rPr>
              <w:t xml:space="preserve"> and </w:t>
            </w:r>
            <w:r w:rsidR="00FD13CC" w:rsidRPr="001C19E7">
              <w:rPr>
                <w:b/>
                <w:bCs/>
                <w:i/>
                <w:iCs/>
                <w:lang w:val="en-US" w:eastAsia="da-DK"/>
              </w:rPr>
              <w:t>diagnostic data</w:t>
            </w:r>
            <w:r w:rsidR="00FD13CC" w:rsidRPr="001C19E7">
              <w:rPr>
                <w:i/>
                <w:iCs/>
                <w:lang w:val="en-US" w:eastAsia="da-DK"/>
              </w:rPr>
              <w:t xml:space="preserve"> collected from various Microsoft products and services, in conjunction with expert analysis by MSTIC personnel.</w:t>
            </w:r>
            <w:r w:rsidRPr="001C19E7">
              <w:rPr>
                <w:i/>
                <w:iCs/>
                <w:lang w:val="en-US" w:eastAsia="da-DK"/>
              </w:rPr>
              <w:t>”</w:t>
            </w:r>
          </w:p>
          <w:p w14:paraId="26B6DA3B" w14:textId="77777777" w:rsidR="0036440D" w:rsidRPr="001C19E7" w:rsidRDefault="0036440D" w:rsidP="00C83C91">
            <w:pPr>
              <w:rPr>
                <w:i/>
                <w:iCs/>
                <w:lang w:val="en-US" w:eastAsia="da-DK"/>
              </w:rPr>
            </w:pPr>
          </w:p>
          <w:p w14:paraId="4FDEE3F2" w14:textId="3C4B9D82" w:rsidR="0036440D" w:rsidRPr="00DC4F35" w:rsidRDefault="0036440D" w:rsidP="00C83C91">
            <w:r w:rsidRPr="00DC4F35">
              <w:rPr>
                <w:rFonts w:cstheme="minorHAnsi"/>
              </w:rPr>
              <w:t>Der vil i forbindelse med denne aktivitet således</w:t>
            </w:r>
            <w:r w:rsidR="00162208" w:rsidRPr="00DC4F35">
              <w:rPr>
                <w:rFonts w:cstheme="minorHAnsi"/>
              </w:rPr>
              <w:t xml:space="preserve"> bl.a.</w:t>
            </w:r>
            <w:r w:rsidRPr="00DC4F35">
              <w:rPr>
                <w:rFonts w:cstheme="minorHAnsi"/>
              </w:rPr>
              <w:t xml:space="preserve"> kunne forekomme overførsel af </w:t>
            </w:r>
            <w:r w:rsidRPr="00DC4F35">
              <w:rPr>
                <w:lang w:eastAsia="da-DK"/>
              </w:rPr>
              <w:t xml:space="preserve">personoplysninger i logs, herunder brugsoplysninger (aktivitetslogs) samt </w:t>
            </w:r>
            <w:r w:rsidRPr="00DC4F35">
              <w:t xml:space="preserve">ID-oplysninger. </w:t>
            </w:r>
          </w:p>
          <w:p w14:paraId="34DBA4F0" w14:textId="77777777" w:rsidR="0036440D" w:rsidRPr="00DC4F35" w:rsidRDefault="0036440D" w:rsidP="00C83C91">
            <w:pPr>
              <w:rPr>
                <w:i/>
                <w:iCs/>
                <w:lang w:eastAsia="da-DK"/>
              </w:rPr>
            </w:pPr>
          </w:p>
          <w:p w14:paraId="695365D9" w14:textId="2AD73895" w:rsidR="0036440D" w:rsidRPr="00DC4F35" w:rsidRDefault="0036440D" w:rsidP="00C83C91">
            <w:pPr>
              <w:rPr>
                <w:rFonts w:cstheme="minorHAnsi"/>
              </w:rPr>
            </w:pPr>
            <w:r w:rsidRPr="00DC4F35">
              <w:t>For så vidt angår ID-oplysninger</w:t>
            </w:r>
            <w:r w:rsidR="007022B8" w:rsidRPr="00DC4F35">
              <w:t>,</w:t>
            </w:r>
            <w:r w:rsidRPr="00DC4F35">
              <w:t xml:space="preserve"> er der tale om følgende oplysninger: </w:t>
            </w:r>
          </w:p>
          <w:p w14:paraId="3F772DCB" w14:textId="77777777" w:rsidR="0036440D" w:rsidRPr="00DC4F35" w:rsidRDefault="0036440D" w:rsidP="00C83C91"/>
          <w:p w14:paraId="5A24972A" w14:textId="77777777" w:rsidR="0036440D" w:rsidRPr="00DC4F35" w:rsidRDefault="0036440D" w:rsidP="00C83C91">
            <w:pPr>
              <w:pStyle w:val="Punktopstilling"/>
            </w:pPr>
            <w:r w:rsidRPr="00DC4F35">
              <w:t xml:space="preserve">Navn </w:t>
            </w:r>
          </w:p>
          <w:p w14:paraId="6C294476" w14:textId="1DC61DE9" w:rsidR="0045232C" w:rsidRPr="00DC4F35" w:rsidRDefault="0045232C" w:rsidP="00C83C91">
            <w:pPr>
              <w:pStyle w:val="Punktopstilling"/>
            </w:pPr>
            <w:r w:rsidRPr="00DC4F35">
              <w:t>Brugernavn</w:t>
            </w:r>
          </w:p>
          <w:p w14:paraId="48C81EF8" w14:textId="77777777" w:rsidR="0036440D" w:rsidRPr="00DC4F35" w:rsidRDefault="0036440D" w:rsidP="00C83C91">
            <w:pPr>
              <w:pStyle w:val="Punktopstilling"/>
            </w:pPr>
            <w:r w:rsidRPr="00DC4F35">
              <w:t xml:space="preserve">Arbejdsmail </w:t>
            </w:r>
          </w:p>
          <w:p w14:paraId="4058DB79" w14:textId="77777777" w:rsidR="0036440D" w:rsidRPr="00DC4F35" w:rsidRDefault="0036440D" w:rsidP="00C83C91">
            <w:pPr>
              <w:pStyle w:val="Punktopstilling"/>
            </w:pPr>
            <w:r w:rsidRPr="00DC4F35">
              <w:t xml:space="preserve">Arbejdstelefonnummer </w:t>
            </w:r>
          </w:p>
          <w:p w14:paraId="2BE88075" w14:textId="77777777" w:rsidR="0036440D" w:rsidRPr="00DC4F35" w:rsidRDefault="0036440D" w:rsidP="00C83C91">
            <w:pPr>
              <w:pStyle w:val="Punktopstilling"/>
            </w:pPr>
            <w:r w:rsidRPr="00DC4F35">
              <w:t xml:space="preserve">Stillingsbetegnelse </w:t>
            </w:r>
          </w:p>
          <w:p w14:paraId="1194D7A2" w14:textId="491149E8" w:rsidR="0036440D" w:rsidRPr="00DC4F35" w:rsidRDefault="0036440D" w:rsidP="00C83C91">
            <w:pPr>
              <w:pStyle w:val="Punktopstilling"/>
            </w:pPr>
            <w:r w:rsidRPr="00DC4F35">
              <w:t>Ip-adresse (</w:t>
            </w:r>
            <w:r w:rsidR="00A35464" w:rsidRPr="00DC4F35">
              <w:t>De Dataansvarliges</w:t>
            </w:r>
            <w:r w:rsidRPr="00DC4F35">
              <w:t>)</w:t>
            </w:r>
          </w:p>
          <w:p w14:paraId="15AF27D9" w14:textId="1DA26ED1" w:rsidR="0045232C" w:rsidRPr="00DC4F35" w:rsidRDefault="0045232C" w:rsidP="00C83C91">
            <w:pPr>
              <w:pStyle w:val="Punktopstilling"/>
            </w:pPr>
            <w:r w:rsidRPr="00DC4F35">
              <w:t>MAC adresse</w:t>
            </w:r>
            <w:r w:rsidR="00B024D4" w:rsidRPr="00DC4F35">
              <w:t>.</w:t>
            </w:r>
          </w:p>
          <w:p w14:paraId="16210E23" w14:textId="77777777" w:rsidR="0036440D" w:rsidRPr="00DC4F35" w:rsidRDefault="0036440D" w:rsidP="00C83C91">
            <w:pPr>
              <w:rPr>
                <w:i/>
                <w:iCs/>
                <w:lang w:eastAsia="da-DK"/>
              </w:rPr>
            </w:pPr>
          </w:p>
        </w:tc>
      </w:tr>
      <w:tr w:rsidR="0036440D" w:rsidRPr="00DC4F35" w14:paraId="391AC0DA" w14:textId="77777777" w:rsidTr="00C83C91">
        <w:trPr>
          <w:trHeight w:val="937"/>
        </w:trPr>
        <w:tc>
          <w:tcPr>
            <w:tcW w:w="3823" w:type="dxa"/>
          </w:tcPr>
          <w:p w14:paraId="55D19A53" w14:textId="3C461D52" w:rsidR="0036440D" w:rsidRPr="001C19E7" w:rsidRDefault="00C11326" w:rsidP="00C83C91">
            <w:pPr>
              <w:rPr>
                <w:lang w:val="en-US" w:eastAsia="da-DK"/>
              </w:rPr>
            </w:pPr>
            <w:r w:rsidRPr="001C19E7">
              <w:rPr>
                <w:lang w:val="en-US"/>
              </w:rPr>
              <w:lastRenderedPageBreak/>
              <w:t>Fulfilling GDPR data subject rights requests</w:t>
            </w:r>
          </w:p>
        </w:tc>
        <w:tc>
          <w:tcPr>
            <w:tcW w:w="5953" w:type="dxa"/>
          </w:tcPr>
          <w:p w14:paraId="56F372CB" w14:textId="76E28BB6" w:rsidR="00162208" w:rsidRPr="00DC4F35" w:rsidRDefault="00162208" w:rsidP="00284EC7">
            <w:pPr>
              <w:rPr>
                <w:lang w:eastAsia="da-DK"/>
              </w:rPr>
            </w:pPr>
            <w:r w:rsidRPr="00DC4F35">
              <w:rPr>
                <w:lang w:eastAsia="da-DK"/>
              </w:rPr>
              <w:t>Identifikatorer om brugere som udgangspunkt og alle personoplysninger om en person i</w:t>
            </w:r>
            <w:r w:rsidR="00033064" w:rsidRPr="00DC4F35">
              <w:rPr>
                <w:lang w:eastAsia="da-DK"/>
              </w:rPr>
              <w:t xml:space="preserve"> forbindelse med</w:t>
            </w:r>
            <w:r w:rsidRPr="00DC4F35">
              <w:rPr>
                <w:lang w:eastAsia="da-DK"/>
              </w:rPr>
              <w:t xml:space="preserve"> anmodning om </w:t>
            </w:r>
            <w:r w:rsidR="00682981" w:rsidRPr="00DC4F35">
              <w:rPr>
                <w:lang w:eastAsia="da-DK"/>
              </w:rPr>
              <w:t>udøvelse af de registreredes rettigheder</w:t>
            </w:r>
            <w:r w:rsidRPr="00DC4F35">
              <w:rPr>
                <w:lang w:eastAsia="da-DK"/>
              </w:rPr>
              <w:t>:</w:t>
            </w:r>
          </w:p>
          <w:p w14:paraId="10AAB8BB" w14:textId="390A3080" w:rsidR="00162208" w:rsidRPr="00DC4F35" w:rsidRDefault="00162208" w:rsidP="00284EC7">
            <w:pPr>
              <w:rPr>
                <w:lang w:eastAsia="da-DK"/>
              </w:rPr>
            </w:pPr>
            <w:r w:rsidRPr="00DC4F35">
              <w:rPr>
                <w:lang w:eastAsia="da-DK"/>
              </w:rPr>
              <w:t xml:space="preserve"> </w:t>
            </w:r>
          </w:p>
          <w:p w14:paraId="59B085CE" w14:textId="3BE66483" w:rsidR="00284EC7" w:rsidRPr="001C19E7" w:rsidRDefault="00284EC7" w:rsidP="00284EC7">
            <w:pPr>
              <w:rPr>
                <w:lang w:val="en-US" w:eastAsia="da-DK"/>
              </w:rPr>
            </w:pPr>
            <w:r w:rsidRPr="001C19E7">
              <w:rPr>
                <w:lang w:val="en-US" w:eastAsia="da-DK"/>
              </w:rPr>
              <w:t>“</w:t>
            </w:r>
            <w:r w:rsidRPr="001C19E7">
              <w:rPr>
                <w:i/>
                <w:iCs/>
                <w:lang w:val="en-US" w:eastAsia="da-DK"/>
              </w:rPr>
              <w:t>DSR</w:t>
            </w:r>
            <w:r w:rsidR="00174D4A" w:rsidRPr="001C19E7">
              <w:rPr>
                <w:i/>
                <w:iCs/>
                <w:lang w:val="en-US" w:eastAsia="da-DK"/>
              </w:rPr>
              <w:t xml:space="preserve"> [data subject rights request]</w:t>
            </w:r>
            <w:r w:rsidRPr="001C19E7">
              <w:rPr>
                <w:i/>
                <w:iCs/>
                <w:lang w:val="en-US" w:eastAsia="da-DK"/>
              </w:rPr>
              <w:t xml:space="preserve"> signals that include </w:t>
            </w:r>
            <w:r w:rsidRPr="001C19E7">
              <w:rPr>
                <w:b/>
                <w:bCs/>
                <w:i/>
                <w:iCs/>
                <w:lang w:val="en-US" w:eastAsia="da-DK"/>
              </w:rPr>
              <w:t xml:space="preserve">user </w:t>
            </w:r>
            <w:proofErr w:type="gramStart"/>
            <w:r w:rsidRPr="001C19E7">
              <w:rPr>
                <w:b/>
                <w:bCs/>
                <w:i/>
                <w:iCs/>
                <w:lang w:val="en-US" w:eastAsia="da-DK"/>
              </w:rPr>
              <w:t>identifiers</w:t>
            </w:r>
            <w:r w:rsidRPr="001C19E7">
              <w:rPr>
                <w:lang w:val="en-US" w:eastAsia="da-DK"/>
              </w:rPr>
              <w:t>“</w:t>
            </w:r>
            <w:proofErr w:type="gramEnd"/>
            <w:r w:rsidRPr="001C19E7">
              <w:rPr>
                <w:lang w:val="en-US" w:eastAsia="da-DK"/>
              </w:rPr>
              <w:t xml:space="preserve"> </w:t>
            </w:r>
          </w:p>
          <w:p w14:paraId="45CF623A" w14:textId="77777777" w:rsidR="00174D4A" w:rsidRPr="001C19E7" w:rsidRDefault="00174D4A" w:rsidP="00284EC7">
            <w:pPr>
              <w:rPr>
                <w:lang w:val="en-US" w:eastAsia="da-DK"/>
              </w:rPr>
            </w:pPr>
          </w:p>
          <w:p w14:paraId="2EE90218" w14:textId="17BA2453" w:rsidR="00174D4A" w:rsidRPr="001C19E7" w:rsidRDefault="00174D4A" w:rsidP="00174D4A">
            <w:pPr>
              <w:rPr>
                <w:i/>
                <w:iCs/>
                <w:lang w:val="en-US" w:eastAsia="da-DK"/>
              </w:rPr>
            </w:pPr>
            <w:r w:rsidRPr="001C19E7">
              <w:rPr>
                <w:i/>
                <w:iCs/>
                <w:lang w:val="en-US" w:eastAsia="da-DK"/>
              </w:rPr>
              <w:lastRenderedPageBreak/>
              <w:t>“</w:t>
            </w:r>
            <w:proofErr w:type="gramStart"/>
            <w:r w:rsidRPr="001C19E7">
              <w:rPr>
                <w:i/>
                <w:iCs/>
                <w:lang w:val="en-US" w:eastAsia="da-DK"/>
              </w:rPr>
              <w:t>when</w:t>
            </w:r>
            <w:proofErr w:type="gramEnd"/>
            <w:r w:rsidRPr="001C19E7">
              <w:rPr>
                <w:i/>
                <w:iCs/>
                <w:lang w:val="en-US" w:eastAsia="da-DK"/>
              </w:rPr>
              <w:t xml:space="preserve"> an export request is submitted by a customer administrator, Microsoft must export to the storage location specified by the customer admin, even if outside the EU Data Boundary, </w:t>
            </w:r>
            <w:r w:rsidRPr="001C19E7">
              <w:rPr>
                <w:b/>
                <w:bCs/>
                <w:i/>
                <w:iCs/>
                <w:lang w:val="en-US" w:eastAsia="da-DK"/>
              </w:rPr>
              <w:t>all the personal data about that data subject</w:t>
            </w:r>
            <w:r w:rsidRPr="001C19E7">
              <w:rPr>
                <w:i/>
                <w:iCs/>
                <w:lang w:val="en-US" w:eastAsia="da-DK"/>
              </w:rPr>
              <w:t>.”</w:t>
            </w:r>
          </w:p>
          <w:p w14:paraId="673F3267" w14:textId="77777777" w:rsidR="00284EC7" w:rsidRPr="001C19E7" w:rsidRDefault="00284EC7" w:rsidP="00284EC7">
            <w:pPr>
              <w:rPr>
                <w:lang w:val="en-US" w:eastAsia="da-DK"/>
              </w:rPr>
            </w:pPr>
          </w:p>
          <w:p w14:paraId="651A32C6" w14:textId="7C1B242C" w:rsidR="0036440D" w:rsidRPr="00DC4F35" w:rsidRDefault="00284EC7" w:rsidP="00284EC7">
            <w:pPr>
              <w:rPr>
                <w:lang w:eastAsia="da-DK"/>
              </w:rPr>
            </w:pPr>
            <w:r w:rsidRPr="00DC4F35">
              <w:rPr>
                <w:lang w:eastAsia="da-DK"/>
              </w:rPr>
              <w:t xml:space="preserve">Microsoft </w:t>
            </w:r>
            <w:r w:rsidR="001379A3" w:rsidRPr="00DC4F35">
              <w:rPr>
                <w:lang w:eastAsia="da-DK"/>
              </w:rPr>
              <w:t xml:space="preserve">Ireland </w:t>
            </w:r>
            <w:r w:rsidRPr="00DC4F35">
              <w:rPr>
                <w:lang w:eastAsia="da-DK"/>
              </w:rPr>
              <w:t xml:space="preserve">oplyser ikke nærmere, hvilke oplysninger dette dækker over. Det er på baggrund af ovenstående formulering dog </w:t>
            </w:r>
            <w:r w:rsidR="00523602" w:rsidRPr="00DC4F35">
              <w:rPr>
                <w:lang w:eastAsia="da-DK"/>
              </w:rPr>
              <w:t>S</w:t>
            </w:r>
            <w:r w:rsidR="001379A3" w:rsidRPr="00DC4F35">
              <w:rPr>
                <w:lang w:eastAsia="da-DK"/>
              </w:rPr>
              <w:t xml:space="preserve">tatens </w:t>
            </w:r>
            <w:proofErr w:type="spellStart"/>
            <w:r w:rsidR="001379A3" w:rsidRPr="00DC4F35">
              <w:rPr>
                <w:lang w:eastAsia="da-DK"/>
              </w:rPr>
              <w:t>It’s</w:t>
            </w:r>
            <w:proofErr w:type="spellEnd"/>
            <w:r w:rsidR="00523602" w:rsidRPr="00DC4F35">
              <w:rPr>
                <w:lang w:eastAsia="da-DK"/>
              </w:rPr>
              <w:t xml:space="preserve"> og Ø</w:t>
            </w:r>
            <w:r w:rsidR="001379A3" w:rsidRPr="00DC4F35">
              <w:rPr>
                <w:lang w:eastAsia="da-DK"/>
              </w:rPr>
              <w:t>konomistyrelsens</w:t>
            </w:r>
            <w:r w:rsidRPr="00DC4F35">
              <w:rPr>
                <w:lang w:eastAsia="da-DK"/>
              </w:rPr>
              <w:t xml:space="preserve"> opfattelse, at der alene er tale oplysninger, der kan identificere den enkelte bruger, herunder f.eks. ID-oplysninger.</w:t>
            </w:r>
          </w:p>
        </w:tc>
      </w:tr>
      <w:tr w:rsidR="0036440D" w:rsidRPr="00DC4F35" w14:paraId="0B546055" w14:textId="77777777" w:rsidTr="00C83C91">
        <w:tc>
          <w:tcPr>
            <w:tcW w:w="3823" w:type="dxa"/>
          </w:tcPr>
          <w:p w14:paraId="016CFBD6" w14:textId="77777777" w:rsidR="00C11326" w:rsidRPr="00DC4F35" w:rsidRDefault="00C11326" w:rsidP="00C11326">
            <w:r w:rsidRPr="00DC4F35">
              <w:lastRenderedPageBreak/>
              <w:t>Adgangsstyring/log in i tjenester (Directory Data)</w:t>
            </w:r>
          </w:p>
          <w:p w14:paraId="52654CC0" w14:textId="13F036A4" w:rsidR="0036440D" w:rsidRPr="00DC4F35" w:rsidRDefault="0036440D" w:rsidP="00C83C91">
            <w:pPr>
              <w:rPr>
                <w:lang w:eastAsia="da-DK"/>
              </w:rPr>
            </w:pPr>
          </w:p>
        </w:tc>
        <w:tc>
          <w:tcPr>
            <w:tcW w:w="5953" w:type="dxa"/>
          </w:tcPr>
          <w:p w14:paraId="5A711DD7" w14:textId="4EF65188" w:rsidR="00162208" w:rsidRPr="001C19E7" w:rsidRDefault="005E2500" w:rsidP="00C83C91">
            <w:pPr>
              <w:rPr>
                <w:lang w:val="en-US" w:eastAsia="da-DK"/>
              </w:rPr>
            </w:pPr>
            <w:r w:rsidRPr="001C19E7">
              <w:rPr>
                <w:lang w:val="en-US" w:eastAsia="da-DK"/>
              </w:rPr>
              <w:t xml:space="preserve">Microsoft </w:t>
            </w:r>
            <w:proofErr w:type="spellStart"/>
            <w:r w:rsidRPr="001C19E7">
              <w:rPr>
                <w:lang w:val="en-US" w:eastAsia="da-DK"/>
              </w:rPr>
              <w:t>Entra</w:t>
            </w:r>
            <w:proofErr w:type="spellEnd"/>
            <w:r w:rsidRPr="001C19E7">
              <w:rPr>
                <w:lang w:val="en-US" w:eastAsia="da-DK"/>
              </w:rPr>
              <w:t xml:space="preserve"> directory data:</w:t>
            </w:r>
          </w:p>
          <w:p w14:paraId="63D1F951" w14:textId="77777777" w:rsidR="005E2500" w:rsidRPr="001C19E7" w:rsidRDefault="005E2500" w:rsidP="00C83C91">
            <w:pPr>
              <w:rPr>
                <w:i/>
                <w:iCs/>
                <w:lang w:val="en-US" w:eastAsia="da-DK"/>
              </w:rPr>
            </w:pPr>
          </w:p>
          <w:p w14:paraId="133E4EA0" w14:textId="0A2221A3" w:rsidR="0036440D" w:rsidRPr="001C19E7" w:rsidRDefault="0036440D" w:rsidP="00C83C91">
            <w:pPr>
              <w:rPr>
                <w:i/>
                <w:iCs/>
                <w:lang w:val="en-US" w:eastAsia="da-DK"/>
              </w:rPr>
            </w:pPr>
            <w:r w:rsidRPr="001C19E7">
              <w:rPr>
                <w:i/>
                <w:iCs/>
                <w:lang w:val="en-US" w:eastAsia="da-DK"/>
              </w:rPr>
              <w:t xml:space="preserve">“Microsoft may replicate limited </w:t>
            </w:r>
            <w:r w:rsidRPr="001C19E7">
              <w:rPr>
                <w:b/>
                <w:bCs/>
                <w:i/>
                <w:iCs/>
                <w:lang w:val="en-US" w:eastAsia="da-DK"/>
              </w:rPr>
              <w:t xml:space="preserve">Microsoft </w:t>
            </w:r>
            <w:proofErr w:type="spellStart"/>
            <w:r w:rsidRPr="001C19E7">
              <w:rPr>
                <w:b/>
                <w:bCs/>
                <w:i/>
                <w:iCs/>
                <w:lang w:val="en-US" w:eastAsia="da-DK"/>
              </w:rPr>
              <w:t>Entra</w:t>
            </w:r>
            <w:proofErr w:type="spellEnd"/>
            <w:r w:rsidRPr="001C19E7">
              <w:rPr>
                <w:b/>
                <w:bCs/>
                <w:i/>
                <w:iCs/>
                <w:lang w:val="en-US" w:eastAsia="da-DK"/>
              </w:rPr>
              <w:t xml:space="preserve"> directory data</w:t>
            </w:r>
            <w:r w:rsidRPr="001C19E7">
              <w:rPr>
                <w:i/>
                <w:iCs/>
                <w:lang w:val="en-US" w:eastAsia="da-DK"/>
              </w:rPr>
              <w:t xml:space="preserve"> from Microsoft </w:t>
            </w:r>
            <w:proofErr w:type="spellStart"/>
            <w:r w:rsidRPr="001C19E7">
              <w:rPr>
                <w:i/>
                <w:iCs/>
                <w:lang w:val="en-US" w:eastAsia="da-DK"/>
              </w:rPr>
              <w:t>Entra</w:t>
            </w:r>
            <w:proofErr w:type="spellEnd"/>
            <w:r w:rsidRPr="001C19E7">
              <w:rPr>
                <w:i/>
                <w:iCs/>
                <w:lang w:val="en-US" w:eastAsia="da-DK"/>
              </w:rPr>
              <w:t xml:space="preserve"> (including </w:t>
            </w:r>
            <w:r w:rsidRPr="001C19E7">
              <w:rPr>
                <w:b/>
                <w:bCs/>
                <w:i/>
                <w:iCs/>
                <w:lang w:val="en-US" w:eastAsia="da-DK"/>
              </w:rPr>
              <w:t>username and email address</w:t>
            </w:r>
            <w:r w:rsidRPr="001C19E7">
              <w:rPr>
                <w:i/>
                <w:iCs/>
                <w:lang w:val="en-US" w:eastAsia="da-DK"/>
              </w:rPr>
              <w:t>) […].”</w:t>
            </w:r>
          </w:p>
          <w:p w14:paraId="585B00AD" w14:textId="77777777" w:rsidR="0036440D" w:rsidRPr="001C19E7" w:rsidRDefault="0036440D" w:rsidP="00C83C91">
            <w:pPr>
              <w:rPr>
                <w:i/>
                <w:iCs/>
                <w:lang w:val="en-US" w:eastAsia="da-DK"/>
              </w:rPr>
            </w:pPr>
          </w:p>
          <w:p w14:paraId="3635E1A9" w14:textId="69F1D162" w:rsidR="0036440D" w:rsidRPr="00DC4F35" w:rsidRDefault="0036440D" w:rsidP="00C83C91">
            <w:pPr>
              <w:rPr>
                <w:rFonts w:cstheme="minorHAnsi"/>
              </w:rPr>
            </w:pPr>
            <w:r w:rsidRPr="00DC4F35">
              <w:t xml:space="preserve">For så vidt angår </w:t>
            </w:r>
            <w:r w:rsidR="00D37DAE" w:rsidRPr="00DC4F35">
              <w:t xml:space="preserve">login- og </w:t>
            </w:r>
            <w:r w:rsidRPr="00DC4F35">
              <w:t xml:space="preserve">ID-oplysninger er der også her tale om følgende oplysninger: </w:t>
            </w:r>
          </w:p>
          <w:p w14:paraId="4C1EF10D" w14:textId="77777777" w:rsidR="0036440D" w:rsidRPr="00DC4F35" w:rsidRDefault="0036440D" w:rsidP="00C83C91"/>
          <w:p w14:paraId="5A1265B3" w14:textId="77777777" w:rsidR="0036440D" w:rsidRPr="00DC4F35" w:rsidRDefault="0036440D" w:rsidP="00C83C91">
            <w:pPr>
              <w:pStyle w:val="Punktopstilling"/>
            </w:pPr>
            <w:r w:rsidRPr="00DC4F35">
              <w:t xml:space="preserve">Navn </w:t>
            </w:r>
          </w:p>
          <w:p w14:paraId="7DE13121" w14:textId="587C72B7" w:rsidR="0045232C" w:rsidRPr="00DC4F35" w:rsidRDefault="0045232C" w:rsidP="00C83C91">
            <w:pPr>
              <w:pStyle w:val="Punktopstilling"/>
            </w:pPr>
            <w:r w:rsidRPr="00DC4F35">
              <w:t>Brugernavn</w:t>
            </w:r>
          </w:p>
          <w:p w14:paraId="0ED46609" w14:textId="77777777" w:rsidR="0036440D" w:rsidRPr="00DC4F35" w:rsidRDefault="0036440D" w:rsidP="00C83C91">
            <w:pPr>
              <w:pStyle w:val="Punktopstilling"/>
            </w:pPr>
            <w:r w:rsidRPr="00DC4F35">
              <w:t xml:space="preserve">Arbejdsmail </w:t>
            </w:r>
          </w:p>
          <w:p w14:paraId="055B313A" w14:textId="77777777" w:rsidR="0036440D" w:rsidRPr="00DC4F35" w:rsidRDefault="0036440D" w:rsidP="00C83C91">
            <w:pPr>
              <w:pStyle w:val="Punktopstilling"/>
            </w:pPr>
            <w:r w:rsidRPr="00DC4F35">
              <w:t xml:space="preserve">Arbejdstelefonnummer </w:t>
            </w:r>
          </w:p>
          <w:p w14:paraId="167C3C43" w14:textId="77777777" w:rsidR="0036440D" w:rsidRPr="00DC4F35" w:rsidRDefault="0036440D" w:rsidP="00C83C91">
            <w:pPr>
              <w:pStyle w:val="Punktopstilling"/>
            </w:pPr>
            <w:r w:rsidRPr="00DC4F35">
              <w:t xml:space="preserve">Stillingsbetegnelse </w:t>
            </w:r>
          </w:p>
          <w:p w14:paraId="3720A70A" w14:textId="00A80F8B" w:rsidR="0036440D" w:rsidRPr="00DC4F35" w:rsidRDefault="0036440D" w:rsidP="00C83C91">
            <w:pPr>
              <w:pStyle w:val="Punktopstilling"/>
            </w:pPr>
            <w:r w:rsidRPr="00DC4F35">
              <w:t>Ip-adresse (</w:t>
            </w:r>
            <w:r w:rsidR="00A35464" w:rsidRPr="00DC4F35">
              <w:t>De Dataansvarliges</w:t>
            </w:r>
            <w:r w:rsidRPr="00DC4F35">
              <w:t>)</w:t>
            </w:r>
          </w:p>
          <w:p w14:paraId="7AB4F628" w14:textId="0106EDF5" w:rsidR="0036440D" w:rsidRPr="00DC4F35" w:rsidRDefault="0045232C" w:rsidP="003D4BFB">
            <w:pPr>
              <w:pStyle w:val="Punktopstilling"/>
              <w:rPr>
                <w:i/>
                <w:iCs/>
                <w:lang w:eastAsia="da-DK"/>
              </w:rPr>
            </w:pPr>
            <w:r w:rsidRPr="00DC4F35">
              <w:t>MAC adresse</w:t>
            </w:r>
            <w:r w:rsidR="00033064" w:rsidRPr="00DC4F35">
              <w:t>.</w:t>
            </w:r>
          </w:p>
        </w:tc>
      </w:tr>
      <w:tr w:rsidR="0036440D" w:rsidRPr="00D87AC5" w14:paraId="28785A19" w14:textId="77777777" w:rsidTr="00C83C91">
        <w:tc>
          <w:tcPr>
            <w:tcW w:w="3823" w:type="dxa"/>
          </w:tcPr>
          <w:p w14:paraId="3F0063D6" w14:textId="106F9A4B" w:rsidR="0036440D" w:rsidRPr="001C19E7" w:rsidRDefault="00C11326" w:rsidP="00C83C91">
            <w:pPr>
              <w:rPr>
                <w:lang w:val="en-US" w:eastAsia="da-DK"/>
              </w:rPr>
            </w:pPr>
            <w:r w:rsidRPr="001C19E7">
              <w:rPr>
                <w:lang w:val="en-US"/>
              </w:rPr>
              <w:t>Service and Platform Quality and Management</w:t>
            </w:r>
          </w:p>
        </w:tc>
        <w:tc>
          <w:tcPr>
            <w:tcW w:w="5953" w:type="dxa"/>
          </w:tcPr>
          <w:p w14:paraId="56822A7D" w14:textId="33AB8E94" w:rsidR="00E1493D" w:rsidRPr="00DC4F35" w:rsidRDefault="00E1493D" w:rsidP="00284EC7">
            <w:pPr>
              <w:rPr>
                <w:lang w:eastAsia="da-DK"/>
              </w:rPr>
            </w:pPr>
            <w:proofErr w:type="spellStart"/>
            <w:r w:rsidRPr="00DC4F35">
              <w:rPr>
                <w:lang w:eastAsia="da-DK"/>
              </w:rPr>
              <w:t>Pseudonymiserede</w:t>
            </w:r>
            <w:proofErr w:type="spellEnd"/>
            <w:r w:rsidRPr="00DC4F35">
              <w:rPr>
                <w:lang w:eastAsia="da-DK"/>
              </w:rPr>
              <w:t xml:space="preserve"> personoplysninger fra System-</w:t>
            </w:r>
            <w:proofErr w:type="spellStart"/>
            <w:r w:rsidRPr="00DC4F35">
              <w:rPr>
                <w:lang w:eastAsia="da-DK"/>
              </w:rPr>
              <w:t>Generated</w:t>
            </w:r>
            <w:proofErr w:type="spellEnd"/>
            <w:r w:rsidRPr="00DC4F35">
              <w:rPr>
                <w:lang w:eastAsia="da-DK"/>
              </w:rPr>
              <w:t xml:space="preserve"> Logs, herunder ID-oplysninger og hvorvidt man er en aktiv bruger:</w:t>
            </w:r>
          </w:p>
          <w:p w14:paraId="518AB8DC" w14:textId="77777777" w:rsidR="00E1493D" w:rsidRPr="00DC4F35" w:rsidRDefault="00E1493D" w:rsidP="00284EC7">
            <w:pPr>
              <w:rPr>
                <w:i/>
                <w:iCs/>
                <w:lang w:eastAsia="da-DK"/>
              </w:rPr>
            </w:pPr>
          </w:p>
          <w:p w14:paraId="42CF5EE5" w14:textId="2F7C69D6" w:rsidR="0036440D" w:rsidRPr="001C19E7" w:rsidRDefault="00E1493D" w:rsidP="00284EC7">
            <w:pPr>
              <w:rPr>
                <w:i/>
                <w:iCs/>
                <w:lang w:val="en-US" w:eastAsia="da-DK"/>
              </w:rPr>
            </w:pPr>
            <w:r w:rsidRPr="001C19E7">
              <w:rPr>
                <w:i/>
                <w:iCs/>
                <w:lang w:val="en-US" w:eastAsia="da-DK"/>
              </w:rPr>
              <w:t>“</w:t>
            </w:r>
            <w:r w:rsidR="00A35464" w:rsidRPr="001C19E7">
              <w:rPr>
                <w:i/>
                <w:iCs/>
                <w:lang w:val="en-US" w:eastAsia="da-DK"/>
              </w:rPr>
              <w:t xml:space="preserve">Microsoft personnel may require some </w:t>
            </w:r>
            <w:r w:rsidR="00A35464" w:rsidRPr="001C19E7">
              <w:rPr>
                <w:b/>
                <w:bCs/>
                <w:i/>
                <w:iCs/>
                <w:lang w:val="en-US" w:eastAsia="da-DK"/>
              </w:rPr>
              <w:t>pseudonymized personal data from system-generated logs</w:t>
            </w:r>
            <w:r w:rsidR="00A35464" w:rsidRPr="001C19E7">
              <w:rPr>
                <w:i/>
                <w:iCs/>
                <w:lang w:val="en-US" w:eastAsia="da-DK"/>
              </w:rPr>
              <w:t xml:space="preserve"> </w:t>
            </w:r>
            <w:r w:rsidRPr="001C19E7">
              <w:rPr>
                <w:i/>
                <w:iCs/>
                <w:lang w:val="en-US" w:eastAsia="da-DK"/>
              </w:rPr>
              <w:t>[…]</w:t>
            </w:r>
            <w:r w:rsidR="00A35464" w:rsidRPr="001C19E7">
              <w:rPr>
                <w:i/>
                <w:iCs/>
                <w:lang w:val="en-US" w:eastAsia="da-DK"/>
              </w:rPr>
              <w:t xml:space="preserve">. A limited amount of </w:t>
            </w:r>
            <w:r w:rsidR="00A35464" w:rsidRPr="001C19E7">
              <w:rPr>
                <w:b/>
                <w:bCs/>
                <w:i/>
                <w:iCs/>
                <w:lang w:val="en-US" w:eastAsia="da-DK"/>
              </w:rPr>
              <w:t>pseudonymized personal data such as object IDs or primary unique IDs (PUIDs)</w:t>
            </w:r>
            <w:r w:rsidR="00A35464" w:rsidRPr="001C19E7">
              <w:rPr>
                <w:i/>
                <w:iCs/>
                <w:lang w:val="en-US" w:eastAsia="da-DK"/>
              </w:rPr>
              <w:t xml:space="preserve">, can be included in these transfers </w:t>
            </w:r>
            <w:r w:rsidRPr="001C19E7">
              <w:rPr>
                <w:i/>
                <w:iCs/>
                <w:lang w:val="en-US" w:eastAsia="da-DK"/>
              </w:rPr>
              <w:t>[…]</w:t>
            </w:r>
            <w:r w:rsidR="00A35464" w:rsidRPr="001C19E7">
              <w:rPr>
                <w:i/>
                <w:iCs/>
                <w:lang w:val="en-US" w:eastAsia="da-DK"/>
              </w:rPr>
              <w:t xml:space="preserve">. Examples include calculating the </w:t>
            </w:r>
            <w:r w:rsidR="00A35464" w:rsidRPr="001C19E7">
              <w:rPr>
                <w:b/>
                <w:bCs/>
                <w:i/>
                <w:iCs/>
                <w:lang w:val="en-US" w:eastAsia="da-DK"/>
              </w:rPr>
              <w:t>number of users</w:t>
            </w:r>
            <w:r w:rsidR="00A35464" w:rsidRPr="001C19E7">
              <w:rPr>
                <w:i/>
                <w:iCs/>
                <w:lang w:val="en-US" w:eastAsia="da-DK"/>
              </w:rPr>
              <w:t xml:space="preserve"> affected by a service-impacting event to determine its </w:t>
            </w:r>
            <w:r w:rsidR="00A35464" w:rsidRPr="001C19E7">
              <w:rPr>
                <w:i/>
                <w:iCs/>
                <w:lang w:val="en-US" w:eastAsia="da-DK"/>
              </w:rPr>
              <w:lastRenderedPageBreak/>
              <w:t xml:space="preserve">pervasiveness and severity or calculating </w:t>
            </w:r>
            <w:r w:rsidR="00A35464" w:rsidRPr="001C19E7">
              <w:rPr>
                <w:b/>
                <w:bCs/>
                <w:i/>
                <w:iCs/>
                <w:lang w:val="en-US" w:eastAsia="da-DK"/>
              </w:rPr>
              <w:t>monthly active users</w:t>
            </w:r>
            <w:r w:rsidR="00A35464" w:rsidRPr="001C19E7">
              <w:rPr>
                <w:i/>
                <w:iCs/>
                <w:lang w:val="en-US" w:eastAsia="da-DK"/>
              </w:rPr>
              <w:t xml:space="preserve"> (MAU) and </w:t>
            </w:r>
            <w:r w:rsidR="00A35464" w:rsidRPr="001C19E7">
              <w:rPr>
                <w:b/>
                <w:bCs/>
                <w:i/>
                <w:iCs/>
                <w:lang w:val="en-US" w:eastAsia="da-DK"/>
              </w:rPr>
              <w:t>daily active users</w:t>
            </w:r>
            <w:r w:rsidR="00A35464" w:rsidRPr="001C19E7">
              <w:rPr>
                <w:i/>
                <w:iCs/>
                <w:lang w:val="en-US" w:eastAsia="da-DK"/>
              </w:rPr>
              <w:t xml:space="preserve"> (DAU) of the services to ensure billing calculations based on this data are complete and accurate. </w:t>
            </w:r>
            <w:r w:rsidR="00A35464" w:rsidRPr="001C19E7">
              <w:rPr>
                <w:b/>
                <w:bCs/>
                <w:i/>
                <w:iCs/>
                <w:lang w:val="en-US" w:eastAsia="da-DK"/>
              </w:rPr>
              <w:t>Pseudonymized personal data</w:t>
            </w:r>
            <w:r w:rsidR="00A35464" w:rsidRPr="001C19E7">
              <w:rPr>
                <w:i/>
                <w:iCs/>
                <w:lang w:val="en-US" w:eastAsia="da-DK"/>
              </w:rPr>
              <w:t xml:space="preserve"> transferred for MAU and DAU calculation purposes is retained outside the EU Data Boundary for only as long as needed to compile aggregate analytics.</w:t>
            </w:r>
            <w:r w:rsidRPr="001C19E7">
              <w:rPr>
                <w:i/>
                <w:iCs/>
                <w:lang w:val="en-US" w:eastAsia="da-DK"/>
              </w:rPr>
              <w:t>”</w:t>
            </w:r>
          </w:p>
        </w:tc>
      </w:tr>
      <w:tr w:rsidR="0036440D" w:rsidRPr="00DC4F35" w14:paraId="133906C3" w14:textId="77777777" w:rsidTr="00C83C91">
        <w:tc>
          <w:tcPr>
            <w:tcW w:w="3823" w:type="dxa"/>
          </w:tcPr>
          <w:p w14:paraId="2C2541EE" w14:textId="6730F674" w:rsidR="0036440D" w:rsidRPr="00DC4F35" w:rsidRDefault="00514165" w:rsidP="00C83C91">
            <w:r w:rsidRPr="00DC4F35">
              <w:lastRenderedPageBreak/>
              <w:t xml:space="preserve">For så vidt angår </w:t>
            </w:r>
            <w:r w:rsidR="00C11326" w:rsidRPr="00DC4F35">
              <w:t xml:space="preserve">Teams og Exchange Online sker </w:t>
            </w:r>
            <w:r w:rsidRPr="00DC4F35">
              <w:t xml:space="preserve">der </w:t>
            </w:r>
            <w:r w:rsidR="00C11326" w:rsidRPr="00DC4F35">
              <w:t xml:space="preserve">overførsler ud af EU Data </w:t>
            </w:r>
            <w:proofErr w:type="spellStart"/>
            <w:r w:rsidR="00C11326" w:rsidRPr="00DC4F35">
              <w:t>Boundary</w:t>
            </w:r>
            <w:proofErr w:type="spellEnd"/>
            <w:r w:rsidR="00C11326" w:rsidRPr="00DC4F35">
              <w:t>, som er særlige for disse tjenester</w:t>
            </w:r>
            <w:r w:rsidRPr="00DC4F35">
              <w:t>.</w:t>
            </w:r>
          </w:p>
        </w:tc>
        <w:tc>
          <w:tcPr>
            <w:tcW w:w="5953" w:type="dxa"/>
          </w:tcPr>
          <w:p w14:paraId="411869C5" w14:textId="367D5DAC" w:rsidR="0072500E" w:rsidRPr="00DC4F35" w:rsidRDefault="00C60589" w:rsidP="00D37DAE">
            <w:pPr>
              <w:rPr>
                <w:b/>
                <w:bCs/>
              </w:rPr>
            </w:pPr>
            <w:proofErr w:type="spellStart"/>
            <w:r w:rsidRPr="00DC4F35">
              <w:rPr>
                <w:lang w:eastAsia="da-DK"/>
              </w:rPr>
              <w:t>Pseudonymiserede</w:t>
            </w:r>
            <w:proofErr w:type="spellEnd"/>
            <w:r w:rsidRPr="00DC4F35">
              <w:rPr>
                <w:lang w:eastAsia="da-DK"/>
              </w:rPr>
              <w:t xml:space="preserve"> personoplysninger fra system genererede data, </w:t>
            </w:r>
            <w:r w:rsidR="00563263" w:rsidRPr="00DC4F35">
              <w:rPr>
                <w:lang w:eastAsia="da-DK"/>
              </w:rPr>
              <w:t xml:space="preserve">brugerinteraktion med Teams Q&amp;A, </w:t>
            </w:r>
            <w:proofErr w:type="spellStart"/>
            <w:r w:rsidR="00563263" w:rsidRPr="00DC4F35">
              <w:rPr>
                <w:lang w:eastAsia="da-DK"/>
              </w:rPr>
              <w:t>bruger-ID</w:t>
            </w:r>
            <w:proofErr w:type="spellEnd"/>
            <w:r w:rsidR="00563263" w:rsidRPr="00DC4F35">
              <w:rPr>
                <w:lang w:eastAsia="da-DK"/>
              </w:rPr>
              <w:t xml:space="preserve">, PSTN-telefonnummer, oplysninger der er nødvendige til routing, opkaldsspecifikke globale unikke </w:t>
            </w:r>
            <w:proofErr w:type="spellStart"/>
            <w:r w:rsidR="00563263" w:rsidRPr="00DC4F35">
              <w:rPr>
                <w:lang w:eastAsia="da-DK"/>
              </w:rPr>
              <w:t>ID'er</w:t>
            </w:r>
            <w:proofErr w:type="spellEnd"/>
            <w:r w:rsidR="00563263" w:rsidRPr="00DC4F35">
              <w:rPr>
                <w:lang w:eastAsia="da-DK"/>
              </w:rPr>
              <w:t>, midlertidigt nummer, talebeskeder og beskedtråde:</w:t>
            </w:r>
          </w:p>
          <w:p w14:paraId="3AF16AF9" w14:textId="77777777" w:rsidR="0072500E" w:rsidRPr="00DC4F35" w:rsidRDefault="0072500E" w:rsidP="00D37DAE">
            <w:pPr>
              <w:rPr>
                <w:b/>
                <w:bCs/>
              </w:rPr>
            </w:pPr>
          </w:p>
          <w:p w14:paraId="69A3ED22" w14:textId="0BB1DA82" w:rsidR="0072500E" w:rsidRPr="001C19E7" w:rsidRDefault="0072500E" w:rsidP="00D37DAE">
            <w:pPr>
              <w:rPr>
                <w:u w:val="single"/>
                <w:lang w:val="en-US"/>
              </w:rPr>
            </w:pPr>
            <w:r w:rsidRPr="001C19E7">
              <w:rPr>
                <w:u w:val="single"/>
                <w:lang w:val="en-US"/>
              </w:rPr>
              <w:t xml:space="preserve">Exchange Online: </w:t>
            </w:r>
          </w:p>
          <w:p w14:paraId="3A290864" w14:textId="4C3AC00F" w:rsidR="0036440D" w:rsidRPr="001C19E7" w:rsidRDefault="0072500E" w:rsidP="00D37DAE">
            <w:pPr>
              <w:rPr>
                <w:i/>
                <w:iCs/>
                <w:lang w:val="en-US" w:eastAsia="da-DK"/>
              </w:rPr>
            </w:pPr>
            <w:r w:rsidRPr="001C19E7">
              <w:rPr>
                <w:i/>
                <w:iCs/>
                <w:lang w:val="en-US" w:eastAsia="da-DK"/>
              </w:rPr>
              <w:t>“</w:t>
            </w:r>
            <w:r w:rsidR="00D37DAE" w:rsidRPr="001C19E7">
              <w:rPr>
                <w:i/>
                <w:iCs/>
                <w:lang w:val="en-US" w:eastAsia="da-DK"/>
              </w:rPr>
              <w:t xml:space="preserve">Exchange Online transfers some </w:t>
            </w:r>
            <w:r w:rsidR="00D37DAE" w:rsidRPr="001C19E7">
              <w:rPr>
                <w:b/>
                <w:bCs/>
                <w:i/>
                <w:iCs/>
                <w:lang w:val="en-US" w:eastAsia="da-DK"/>
              </w:rPr>
              <w:t>pseudonymized personal data</w:t>
            </w:r>
            <w:r w:rsidR="00D37DAE" w:rsidRPr="001C19E7">
              <w:rPr>
                <w:i/>
                <w:iCs/>
                <w:lang w:val="en-US" w:eastAsia="da-DK"/>
              </w:rPr>
              <w:t xml:space="preserve"> out of the EU Data Boundary </w:t>
            </w:r>
            <w:r w:rsidR="00D6015A" w:rsidRPr="001C19E7">
              <w:rPr>
                <w:i/>
                <w:iCs/>
                <w:lang w:val="en-US" w:eastAsia="da-DK"/>
              </w:rPr>
              <w:t xml:space="preserve">[…] </w:t>
            </w:r>
            <w:r w:rsidR="00D37DAE" w:rsidRPr="001C19E7">
              <w:rPr>
                <w:i/>
                <w:iCs/>
                <w:lang w:val="en-US" w:eastAsia="da-DK"/>
              </w:rPr>
              <w:t xml:space="preserve">combine </w:t>
            </w:r>
            <w:r w:rsidR="00D37DAE" w:rsidRPr="001C19E7">
              <w:rPr>
                <w:b/>
                <w:bCs/>
                <w:i/>
                <w:iCs/>
                <w:lang w:val="en-US" w:eastAsia="da-DK"/>
              </w:rPr>
              <w:t>system-generated data</w:t>
            </w:r>
            <w:r w:rsidR="00D37DAE" w:rsidRPr="001C19E7">
              <w:rPr>
                <w:i/>
                <w:iCs/>
                <w:lang w:val="en-US" w:eastAsia="da-DK"/>
              </w:rPr>
              <w:t xml:space="preserve"> stored inside and outside the EU Data Bounda</w:t>
            </w:r>
            <w:r w:rsidR="00D6015A" w:rsidRPr="001C19E7">
              <w:rPr>
                <w:i/>
                <w:iCs/>
                <w:lang w:val="en-US" w:eastAsia="da-DK"/>
              </w:rPr>
              <w:t>ry […]</w:t>
            </w:r>
            <w:r w:rsidR="00D37DAE" w:rsidRPr="001C19E7">
              <w:rPr>
                <w:i/>
                <w:iCs/>
                <w:lang w:val="en-US" w:eastAsia="da-DK"/>
              </w:rPr>
              <w:t>.</w:t>
            </w:r>
            <w:r w:rsidRPr="001C19E7">
              <w:rPr>
                <w:i/>
                <w:iCs/>
                <w:lang w:val="en-US" w:eastAsia="da-DK"/>
              </w:rPr>
              <w:t>”</w:t>
            </w:r>
          </w:p>
          <w:p w14:paraId="039D4317" w14:textId="77777777" w:rsidR="00D37DAE" w:rsidRPr="001C19E7" w:rsidRDefault="00D37DAE" w:rsidP="00D37DAE">
            <w:pPr>
              <w:rPr>
                <w:lang w:val="en-US" w:eastAsia="da-DK"/>
              </w:rPr>
            </w:pPr>
          </w:p>
          <w:p w14:paraId="696E24B5" w14:textId="77777777" w:rsidR="007A09BF" w:rsidRPr="00DC4F35" w:rsidRDefault="007A09BF" w:rsidP="007A09BF">
            <w:pPr>
              <w:rPr>
                <w:u w:val="single"/>
              </w:rPr>
            </w:pPr>
            <w:r w:rsidRPr="00DC4F35">
              <w:rPr>
                <w:u w:val="single"/>
              </w:rPr>
              <w:t xml:space="preserve">Teams Q&amp;A: </w:t>
            </w:r>
          </w:p>
          <w:p w14:paraId="41832A11" w14:textId="37336F5D" w:rsidR="007A09BF" w:rsidRPr="001C19E7" w:rsidRDefault="007A09BF" w:rsidP="007A09BF">
            <w:pPr>
              <w:rPr>
                <w:lang w:val="en-US"/>
              </w:rPr>
            </w:pPr>
            <w:r w:rsidRPr="00DC4F35">
              <w:t xml:space="preserve">Ved brug af funktionen ”Teams Q&amp;A”, vil visse data blive behandlet og opbevaret i Nordamerika indtil den 31. december 2024. </w:t>
            </w:r>
            <w:r w:rsidR="005C41EF" w:rsidRPr="001C19E7">
              <w:rPr>
                <w:lang w:val="en-US"/>
              </w:rPr>
              <w:t xml:space="preserve">Det </w:t>
            </w:r>
            <w:proofErr w:type="spellStart"/>
            <w:r w:rsidR="005C41EF" w:rsidRPr="001C19E7">
              <w:rPr>
                <w:lang w:val="en-US"/>
              </w:rPr>
              <w:t>kan</w:t>
            </w:r>
            <w:proofErr w:type="spellEnd"/>
            <w:r w:rsidR="005C41EF" w:rsidRPr="001C19E7">
              <w:rPr>
                <w:lang w:val="en-US"/>
              </w:rPr>
              <w:t xml:space="preserve"> </w:t>
            </w:r>
            <w:proofErr w:type="spellStart"/>
            <w:r w:rsidR="005C41EF" w:rsidRPr="001C19E7">
              <w:rPr>
                <w:lang w:val="en-US"/>
              </w:rPr>
              <w:t>f.eks</w:t>
            </w:r>
            <w:proofErr w:type="spellEnd"/>
            <w:r w:rsidR="005C41EF" w:rsidRPr="001C19E7">
              <w:rPr>
                <w:lang w:val="en-US"/>
              </w:rPr>
              <w:t xml:space="preserve">. </w:t>
            </w:r>
            <w:proofErr w:type="spellStart"/>
            <w:r w:rsidR="005C41EF" w:rsidRPr="001C19E7">
              <w:rPr>
                <w:lang w:val="en-US"/>
              </w:rPr>
              <w:t>være</w:t>
            </w:r>
            <w:proofErr w:type="spellEnd"/>
            <w:r w:rsidR="005C41EF" w:rsidRPr="001C19E7">
              <w:rPr>
                <w:lang w:val="en-US"/>
              </w:rPr>
              <w:t>:</w:t>
            </w:r>
          </w:p>
          <w:p w14:paraId="2055FF68" w14:textId="77777777" w:rsidR="005C41EF" w:rsidRPr="001C19E7" w:rsidRDefault="005C41EF" w:rsidP="005C41EF">
            <w:pPr>
              <w:rPr>
                <w:i/>
                <w:iCs/>
                <w:lang w:val="en-US"/>
              </w:rPr>
            </w:pPr>
          </w:p>
          <w:p w14:paraId="0AEEE722" w14:textId="2FC9B5A1" w:rsidR="005C41EF" w:rsidRPr="001C19E7" w:rsidRDefault="005C41EF" w:rsidP="005C41EF">
            <w:pPr>
              <w:rPr>
                <w:i/>
                <w:iCs/>
                <w:lang w:val="en-US"/>
              </w:rPr>
            </w:pPr>
            <w:r w:rsidRPr="001C19E7">
              <w:rPr>
                <w:i/>
                <w:iCs/>
                <w:lang w:val="en-US"/>
              </w:rPr>
              <w:t>“</w:t>
            </w:r>
            <w:r w:rsidRPr="001C19E7">
              <w:rPr>
                <w:b/>
                <w:bCs/>
                <w:i/>
                <w:iCs/>
                <w:lang w:val="en-US"/>
              </w:rPr>
              <w:t>Pseudonymized personal data about a user’s interactions with the Teams Q&amp;A feature, such as loading the Q&amp;A feed or scrolling through the Q&amp;A feed</w:t>
            </w:r>
            <w:r w:rsidRPr="001C19E7">
              <w:rPr>
                <w:i/>
                <w:iCs/>
                <w:lang w:val="en-US"/>
              </w:rPr>
              <w:t xml:space="preserve">. […] When a user from Customer A is invited as a guest to a meeting hosted by Customer B, and that meeting uses Teams Q&amp;A, </w:t>
            </w:r>
            <w:r w:rsidRPr="001C19E7">
              <w:rPr>
                <w:b/>
                <w:bCs/>
                <w:i/>
                <w:iCs/>
                <w:lang w:val="en-US"/>
              </w:rPr>
              <w:t xml:space="preserve">the </w:t>
            </w:r>
            <w:proofErr w:type="spellStart"/>
            <w:r w:rsidRPr="001C19E7">
              <w:rPr>
                <w:b/>
                <w:bCs/>
                <w:i/>
                <w:iCs/>
                <w:lang w:val="en-US"/>
              </w:rPr>
              <w:t>UserID</w:t>
            </w:r>
            <w:proofErr w:type="spellEnd"/>
            <w:r w:rsidRPr="001C19E7">
              <w:rPr>
                <w:i/>
                <w:iCs/>
                <w:lang w:val="en-US"/>
              </w:rPr>
              <w:t xml:space="preserve"> of the participants will be stored in North America.”</w:t>
            </w:r>
          </w:p>
          <w:p w14:paraId="5FF1A0BF" w14:textId="77777777" w:rsidR="007A09BF" w:rsidRPr="001C19E7" w:rsidRDefault="007A09BF" w:rsidP="007A09BF">
            <w:pPr>
              <w:rPr>
                <w:lang w:val="en-US"/>
              </w:rPr>
            </w:pPr>
          </w:p>
          <w:p w14:paraId="53B09FAB" w14:textId="77777777" w:rsidR="007A09BF" w:rsidRPr="001C19E7" w:rsidRDefault="007A09BF" w:rsidP="007A09BF">
            <w:pPr>
              <w:rPr>
                <w:u w:val="single"/>
                <w:lang w:val="en-US"/>
              </w:rPr>
            </w:pPr>
            <w:r w:rsidRPr="001C19E7">
              <w:rPr>
                <w:u w:val="single"/>
                <w:lang w:val="en-US"/>
              </w:rPr>
              <w:t xml:space="preserve">Public Switched Telephone Network (PSTN) Services: </w:t>
            </w:r>
          </w:p>
          <w:p w14:paraId="39EA4C9F" w14:textId="67023262" w:rsidR="007A09BF" w:rsidRPr="00DC4F35" w:rsidRDefault="007A09BF" w:rsidP="007A09BF">
            <w:r w:rsidRPr="00DC4F35">
              <w:t xml:space="preserve">Ved brug af Teams til opkald og møder over telefonnetværket, sker der overførsel af </w:t>
            </w:r>
            <w:r w:rsidRPr="00DC4F35">
              <w:rPr>
                <w:b/>
                <w:bCs/>
              </w:rPr>
              <w:t>PSTN-telefonnumre og nødvendige oplysninger til r</w:t>
            </w:r>
            <w:r w:rsidR="00563263" w:rsidRPr="00DC4F35">
              <w:rPr>
                <w:b/>
                <w:bCs/>
              </w:rPr>
              <w:t>o</w:t>
            </w:r>
            <w:r w:rsidRPr="00DC4F35">
              <w:rPr>
                <w:b/>
                <w:bCs/>
              </w:rPr>
              <w:t>uting</w:t>
            </w:r>
            <w:r w:rsidRPr="00DC4F35">
              <w:t xml:space="preserve">, samt </w:t>
            </w:r>
            <w:r w:rsidRPr="00DC4F35">
              <w:rPr>
                <w:b/>
                <w:bCs/>
              </w:rPr>
              <w:t>opkaldsspecifikke globale unikke</w:t>
            </w:r>
            <w:r w:rsidRPr="00DC4F35">
              <w:t xml:space="preserve"> </w:t>
            </w:r>
            <w:proofErr w:type="spellStart"/>
            <w:r w:rsidRPr="00DC4F35">
              <w:rPr>
                <w:b/>
                <w:bCs/>
              </w:rPr>
              <w:t>ID'er</w:t>
            </w:r>
            <w:proofErr w:type="spellEnd"/>
            <w:r w:rsidR="00C60589" w:rsidRPr="00DC4F35">
              <w:rPr>
                <w:b/>
                <w:bCs/>
              </w:rPr>
              <w:t>.</w:t>
            </w:r>
            <w:r w:rsidRPr="00DC4F35">
              <w:t xml:space="preserve"> </w:t>
            </w:r>
          </w:p>
          <w:p w14:paraId="6C8A4002" w14:textId="77777777" w:rsidR="007A09BF" w:rsidRPr="00DC4F35" w:rsidRDefault="007A09BF" w:rsidP="007A09BF"/>
          <w:p w14:paraId="0EC67B2D" w14:textId="77777777" w:rsidR="007A09BF" w:rsidRPr="00DC4F35" w:rsidRDefault="007A09BF" w:rsidP="007A09BF">
            <w:pPr>
              <w:rPr>
                <w:u w:val="single"/>
              </w:rPr>
            </w:pPr>
            <w:r w:rsidRPr="00DC4F35">
              <w:rPr>
                <w:u w:val="single"/>
              </w:rPr>
              <w:lastRenderedPageBreak/>
              <w:t xml:space="preserve">Emergency Calls: </w:t>
            </w:r>
          </w:p>
          <w:p w14:paraId="6F7016EE" w14:textId="5D4540EA" w:rsidR="007A09BF" w:rsidRPr="00DC4F35" w:rsidRDefault="007A09BF" w:rsidP="007A09BF">
            <w:r w:rsidRPr="00DC4F35">
              <w:t xml:space="preserve">Ved nødopkald (for eksempel ved at ringe 112) </w:t>
            </w:r>
            <w:r w:rsidRPr="00DC4F35">
              <w:rPr>
                <w:b/>
                <w:bCs/>
              </w:rPr>
              <w:t>tildeles Teams brugeren midlertidigt et nummer</w:t>
            </w:r>
            <w:r w:rsidRPr="00DC4F35">
              <w:t xml:space="preserve"> fra en pulje af numre, der administreres af Microsoft. Det midlertidige nummer </w:t>
            </w:r>
            <w:proofErr w:type="spellStart"/>
            <w:r w:rsidRPr="00DC4F35">
              <w:t>replikeres</w:t>
            </w:r>
            <w:proofErr w:type="spellEnd"/>
            <w:r w:rsidRPr="00DC4F35">
              <w:t xml:space="preserve"> til USA og opbevares i 60 minutter i tilfælde af, at der er behov for at ringe tilbage.</w:t>
            </w:r>
          </w:p>
          <w:p w14:paraId="3A2CA165" w14:textId="77777777" w:rsidR="007A09BF" w:rsidRPr="00DC4F35" w:rsidRDefault="007A09BF" w:rsidP="007A09BF"/>
          <w:p w14:paraId="5D38801F" w14:textId="77777777" w:rsidR="007A09BF" w:rsidRPr="001C19E7" w:rsidRDefault="007A09BF" w:rsidP="007A09BF">
            <w:pPr>
              <w:rPr>
                <w:u w:val="single"/>
                <w:lang w:val="en-US"/>
              </w:rPr>
            </w:pPr>
            <w:r w:rsidRPr="001C19E7">
              <w:rPr>
                <w:u w:val="single"/>
                <w:lang w:val="en-US"/>
              </w:rPr>
              <w:t xml:space="preserve">Voicemail, Auto Attendant, and Call Queue greetings: </w:t>
            </w:r>
          </w:p>
          <w:p w14:paraId="5B981CB2" w14:textId="58A34983" w:rsidR="007A09BF" w:rsidRPr="00DC4F35" w:rsidRDefault="007A09BF" w:rsidP="007A09BF">
            <w:r w:rsidRPr="00DC4F35">
              <w:t xml:space="preserve">Hvis en bruger i EU Data </w:t>
            </w:r>
            <w:proofErr w:type="spellStart"/>
            <w:r w:rsidRPr="00DC4F35">
              <w:t>Boundary</w:t>
            </w:r>
            <w:proofErr w:type="spellEnd"/>
            <w:r w:rsidRPr="00DC4F35">
              <w:t xml:space="preserve"> indtaler </w:t>
            </w:r>
            <w:r w:rsidRPr="00DC4F35">
              <w:rPr>
                <w:b/>
                <w:bCs/>
              </w:rPr>
              <w:t>talebeskeder</w:t>
            </w:r>
            <w:r w:rsidRPr="00DC4F35">
              <w:t xml:space="preserve"> o</w:t>
            </w:r>
            <w:r w:rsidR="00C60589" w:rsidRPr="00DC4F35">
              <w:t>.</w:t>
            </w:r>
            <w:r w:rsidRPr="00DC4F35">
              <w:t xml:space="preserve">l. til en bruger, lagres beskeden i modtagers region i 30 dage. </w:t>
            </w:r>
          </w:p>
          <w:p w14:paraId="7591C708" w14:textId="77777777" w:rsidR="007A09BF" w:rsidRDefault="007A09BF" w:rsidP="007A09BF"/>
          <w:p w14:paraId="63EEFA74" w14:textId="3E60F392" w:rsidR="00E85F83" w:rsidRDefault="008A0913" w:rsidP="007A09BF">
            <w:r>
              <w:t>Der vil blive udarbejdet retningslinjer, der afskær</w:t>
            </w:r>
            <w:r w:rsidR="00C20FDF">
              <w:t>er</w:t>
            </w:r>
            <w:r>
              <w:t xml:space="preserve"> brugen heraf i tilfælde, hvor modtager-brugeren befinder sig uden for EU.</w:t>
            </w:r>
          </w:p>
          <w:p w14:paraId="598F2427" w14:textId="77777777" w:rsidR="00E85F83" w:rsidRPr="00DC4F35" w:rsidRDefault="00E85F83" w:rsidP="007A09BF"/>
          <w:p w14:paraId="748D6D19" w14:textId="77777777" w:rsidR="007A09BF" w:rsidRPr="00DC4F35" w:rsidRDefault="007A09BF" w:rsidP="007A09BF">
            <w:pPr>
              <w:rPr>
                <w:u w:val="single"/>
              </w:rPr>
            </w:pPr>
            <w:r w:rsidRPr="00DC4F35">
              <w:rPr>
                <w:u w:val="single"/>
              </w:rPr>
              <w:t>Messaging Thread Service</w:t>
            </w:r>
          </w:p>
          <w:p w14:paraId="709F4733" w14:textId="77777777" w:rsidR="007A09BF" w:rsidRPr="00DC4F35" w:rsidRDefault="007A09BF" w:rsidP="007A09BF">
            <w:r w:rsidRPr="00DC4F35">
              <w:rPr>
                <w:b/>
                <w:bCs/>
              </w:rPr>
              <w:t>Beskedtråde</w:t>
            </w:r>
            <w:r w:rsidRPr="00DC4F35">
              <w:t xml:space="preserve"> i forbindelse med chats/møder opbevares i initiativtageres (dvs. chat-starteres/ mødearrangørers) region. </w:t>
            </w:r>
          </w:p>
          <w:p w14:paraId="51B26587" w14:textId="77777777" w:rsidR="00D37DAE" w:rsidRDefault="00D37DAE" w:rsidP="00D37DAE">
            <w:pPr>
              <w:rPr>
                <w:lang w:eastAsia="da-DK"/>
              </w:rPr>
            </w:pPr>
          </w:p>
          <w:p w14:paraId="0997D4FC" w14:textId="77777777" w:rsidR="006F09E6" w:rsidRDefault="006F09E6" w:rsidP="00D37DAE">
            <w:r>
              <w:t xml:space="preserve">Der vil blive udarbejdet retningslinjer, der afskærer brugen heraf i tilfælde, hvor </w:t>
            </w:r>
            <w:r w:rsidR="002700C4">
              <w:t>initi</w:t>
            </w:r>
            <w:r w:rsidR="003D38F8">
              <w:t>ati</w:t>
            </w:r>
            <w:r w:rsidR="002700C4">
              <w:t>vtageren</w:t>
            </w:r>
            <w:r>
              <w:t xml:space="preserve"> befinder sig uden for EU.</w:t>
            </w:r>
          </w:p>
          <w:p w14:paraId="076044B8" w14:textId="49B0ECAA" w:rsidR="00CD5966" w:rsidRPr="00DC4F35" w:rsidRDefault="00CD5966" w:rsidP="00D37DAE">
            <w:pPr>
              <w:rPr>
                <w:lang w:eastAsia="da-DK"/>
              </w:rPr>
            </w:pPr>
          </w:p>
        </w:tc>
      </w:tr>
      <w:tr w:rsidR="009B1DF0" w:rsidRPr="00D87AC5" w14:paraId="6049AE31" w14:textId="77777777" w:rsidTr="00C83C91">
        <w:tc>
          <w:tcPr>
            <w:tcW w:w="3823" w:type="dxa"/>
          </w:tcPr>
          <w:p w14:paraId="3B5ACCFE" w14:textId="3A53C972" w:rsidR="009B1DF0" w:rsidRPr="00DC4F35" w:rsidRDefault="009B1DF0" w:rsidP="00C83C91">
            <w:r w:rsidRPr="00DC4F35">
              <w:lastRenderedPageBreak/>
              <w:t>Supportydelser (Professional Services)</w:t>
            </w:r>
          </w:p>
        </w:tc>
        <w:tc>
          <w:tcPr>
            <w:tcW w:w="5953" w:type="dxa"/>
          </w:tcPr>
          <w:p w14:paraId="4902DE34" w14:textId="6083C0B5" w:rsidR="00666F84" w:rsidRPr="00DC4F35" w:rsidRDefault="00834C1E" w:rsidP="00666F84">
            <w:pPr>
              <w:rPr>
                <w:lang w:eastAsia="da-DK"/>
              </w:rPr>
            </w:pPr>
            <w:r w:rsidRPr="00DC4F35">
              <w:rPr>
                <w:lang w:eastAsia="da-DK"/>
              </w:rPr>
              <w:t>Professional Services Data</w:t>
            </w:r>
            <w:r w:rsidR="00666F84" w:rsidRPr="00DC4F35">
              <w:rPr>
                <w:lang w:eastAsia="da-DK"/>
              </w:rPr>
              <w:t xml:space="preserve"> og </w:t>
            </w:r>
            <w:proofErr w:type="spellStart"/>
            <w:r w:rsidR="00666F84" w:rsidRPr="00DC4F35">
              <w:rPr>
                <w:lang w:eastAsia="da-DK"/>
              </w:rPr>
              <w:t>pseudonymiserede</w:t>
            </w:r>
            <w:proofErr w:type="spellEnd"/>
            <w:r w:rsidR="00666F84" w:rsidRPr="00DC4F35">
              <w:rPr>
                <w:lang w:eastAsia="da-DK"/>
              </w:rPr>
              <w:t xml:space="preserve"> personoplysninger:</w:t>
            </w:r>
          </w:p>
          <w:p w14:paraId="35941996" w14:textId="77777777" w:rsidR="00834C1E" w:rsidRPr="00DC4F35" w:rsidRDefault="00834C1E" w:rsidP="00666F84">
            <w:pPr>
              <w:rPr>
                <w:lang w:eastAsia="da-DK"/>
              </w:rPr>
            </w:pPr>
          </w:p>
          <w:p w14:paraId="0535FA88" w14:textId="7C164129" w:rsidR="00834C1E" w:rsidRPr="00DC4F35" w:rsidRDefault="00834C1E" w:rsidP="00666F84">
            <w:pPr>
              <w:rPr>
                <w:i/>
                <w:iCs/>
              </w:rPr>
            </w:pPr>
            <w:r w:rsidRPr="001C19E7">
              <w:rPr>
                <w:i/>
                <w:iCs/>
                <w:lang w:val="en-US"/>
              </w:rPr>
              <w:t xml:space="preserve">"[…] customers provide Microsoft with data in the course of engaging with Microsoft for support […], that data is Professional Services Data, as defined in the Microsoft Products and Services Data Protection Addendum (DPA). </w:t>
            </w:r>
            <w:r w:rsidRPr="00DC4F35">
              <w:rPr>
                <w:i/>
                <w:iCs/>
              </w:rPr>
              <w:t>[…]”</w:t>
            </w:r>
          </w:p>
          <w:p w14:paraId="3A15DE44" w14:textId="77777777" w:rsidR="009B1DF0" w:rsidRPr="00DC4F35" w:rsidRDefault="009B1DF0" w:rsidP="00834C1E">
            <w:pPr>
              <w:rPr>
                <w:lang w:eastAsia="da-DK"/>
              </w:rPr>
            </w:pPr>
          </w:p>
          <w:p w14:paraId="40AF4155" w14:textId="5C9FBDA5" w:rsidR="00834C1E" w:rsidRPr="00DC4F35" w:rsidRDefault="00834C1E" w:rsidP="00834C1E">
            <w:pPr>
              <w:rPr>
                <w:lang w:eastAsia="da-DK"/>
              </w:rPr>
            </w:pPr>
            <w:r w:rsidRPr="00DC4F35">
              <w:rPr>
                <w:lang w:eastAsia="da-DK"/>
              </w:rPr>
              <w:t>I Microsoft</w:t>
            </w:r>
            <w:r w:rsidR="00BC263D" w:rsidRPr="00DC4F35">
              <w:rPr>
                <w:lang w:eastAsia="da-DK"/>
              </w:rPr>
              <w:t xml:space="preserve"> Irelands</w:t>
            </w:r>
            <w:r w:rsidRPr="00DC4F35">
              <w:rPr>
                <w:lang w:eastAsia="da-DK"/>
              </w:rPr>
              <w:t xml:space="preserve"> databehandleraftale</w:t>
            </w:r>
            <w:r w:rsidR="00007064" w:rsidRPr="00DC4F35">
              <w:rPr>
                <w:lang w:eastAsia="da-DK"/>
              </w:rPr>
              <w:t>,</w:t>
            </w:r>
            <w:r w:rsidRPr="00DC4F35">
              <w:rPr>
                <w:lang w:eastAsia="da-DK"/>
              </w:rPr>
              <w:t xml:space="preserve"> side 4</w:t>
            </w:r>
            <w:r w:rsidR="00007064" w:rsidRPr="00DC4F35">
              <w:rPr>
                <w:lang w:eastAsia="da-DK"/>
              </w:rPr>
              <w:t>,</w:t>
            </w:r>
            <w:r w:rsidRPr="00DC4F35">
              <w:rPr>
                <w:lang w:eastAsia="da-DK"/>
              </w:rPr>
              <w:t xml:space="preserve"> fremgår det, at der kan være tale om overførsel af følgende oplysninger:</w:t>
            </w:r>
          </w:p>
          <w:p w14:paraId="6D379587" w14:textId="77777777" w:rsidR="00834C1E" w:rsidRPr="00DC4F35" w:rsidRDefault="00834C1E" w:rsidP="00834C1E">
            <w:pPr>
              <w:rPr>
                <w:lang w:eastAsia="da-DK"/>
              </w:rPr>
            </w:pPr>
          </w:p>
          <w:p w14:paraId="2576F960" w14:textId="19F234D7" w:rsidR="00834C1E" w:rsidRPr="001C19E7" w:rsidRDefault="00834C1E" w:rsidP="00834C1E">
            <w:pPr>
              <w:rPr>
                <w:i/>
                <w:iCs/>
                <w:lang w:val="en-US" w:eastAsia="da-DK"/>
              </w:rPr>
            </w:pPr>
            <w:r w:rsidRPr="001C19E7">
              <w:rPr>
                <w:i/>
                <w:iCs/>
                <w:lang w:val="en-US" w:eastAsia="da-DK"/>
              </w:rPr>
              <w:t xml:space="preserve">“Professional Services Data” means all data, including all text, sound, video, image files or software, that are provided to Microsoft, by or on behalf of a </w:t>
            </w:r>
            <w:proofErr w:type="gramStart"/>
            <w:r w:rsidRPr="001C19E7">
              <w:rPr>
                <w:i/>
                <w:iCs/>
                <w:lang w:val="en-US" w:eastAsia="da-DK"/>
              </w:rPr>
              <w:t>Customer</w:t>
            </w:r>
            <w:proofErr w:type="gramEnd"/>
            <w:r w:rsidRPr="001C19E7">
              <w:rPr>
                <w:i/>
                <w:iCs/>
                <w:lang w:val="en-US" w:eastAsia="da-DK"/>
              </w:rPr>
              <w:t xml:space="preserve"> (or that Customer authorizes Microsoft to obtain from a Product) or otherwise obtained </w:t>
            </w:r>
            <w:r w:rsidRPr="001C19E7">
              <w:rPr>
                <w:i/>
                <w:iCs/>
                <w:lang w:val="en-US" w:eastAsia="da-DK"/>
              </w:rPr>
              <w:lastRenderedPageBreak/>
              <w:t>or processed by or on behalf of Microsoft through an engagement with Microsoft to obtain Professional Services.”</w:t>
            </w:r>
          </w:p>
        </w:tc>
      </w:tr>
    </w:tbl>
    <w:p w14:paraId="02EF06B0" w14:textId="77777777" w:rsidR="009B1DF0" w:rsidRPr="001C19E7" w:rsidRDefault="009B1DF0" w:rsidP="00C34FF9">
      <w:pPr>
        <w:rPr>
          <w:lang w:val="en-US" w:eastAsia="da-DK"/>
        </w:rPr>
      </w:pPr>
    </w:p>
    <w:p w14:paraId="1A03AADD" w14:textId="749BDFB7" w:rsidR="00C34FF9" w:rsidRPr="00C83C91" w:rsidRDefault="00081C62" w:rsidP="00C34FF9">
      <w:pPr>
        <w:rPr>
          <w:lang w:val="en-US"/>
        </w:rPr>
      </w:pPr>
      <w:r w:rsidRPr="00DC4F35">
        <w:rPr>
          <w:lang w:eastAsia="da-DK"/>
        </w:rPr>
        <w:t>Udover de oplyste kategorier af personoplysninger er det ikke oplyst specifikt</w:t>
      </w:r>
      <w:r w:rsidR="00F665A3" w:rsidRPr="00DC4F35">
        <w:rPr>
          <w:lang w:eastAsia="da-DK"/>
        </w:rPr>
        <w:t>,</w:t>
      </w:r>
      <w:r w:rsidRPr="00DC4F35">
        <w:rPr>
          <w:lang w:eastAsia="da-DK"/>
        </w:rPr>
        <w:t xml:space="preserve"> hvilke personoplysninger det vedrører</w:t>
      </w:r>
      <w:r w:rsidR="0075115E" w:rsidRPr="00DC4F35">
        <w:rPr>
          <w:lang w:eastAsia="da-DK"/>
        </w:rPr>
        <w:t>, med undtagelse af diagnostiske data, der for så vidt angår obligatoriske diagnostiske data er uddybet i Microsoft</w:t>
      </w:r>
      <w:r w:rsidR="00007064" w:rsidRPr="00DC4F35">
        <w:rPr>
          <w:lang w:eastAsia="da-DK"/>
        </w:rPr>
        <w:t xml:space="preserve"> Irelands</w:t>
      </w:r>
      <w:r w:rsidR="0075115E" w:rsidRPr="00DC4F35">
        <w:rPr>
          <w:lang w:eastAsia="da-DK"/>
        </w:rPr>
        <w:t xml:space="preserve"> dokumentation herom af </w:t>
      </w:r>
      <w:r w:rsidR="00007064" w:rsidRPr="00DC4F35">
        <w:rPr>
          <w:lang w:eastAsia="da-DK"/>
        </w:rPr>
        <w:t xml:space="preserve">den </w:t>
      </w:r>
      <w:r w:rsidR="0075115E" w:rsidRPr="00DC4F35">
        <w:rPr>
          <w:lang w:eastAsia="da-DK"/>
        </w:rPr>
        <w:t>29. marts 2024 ”</w:t>
      </w:r>
      <w:proofErr w:type="spellStart"/>
      <w:r w:rsidR="0075115E" w:rsidRPr="00DC4F35">
        <w:rPr>
          <w:i/>
          <w:iCs/>
          <w:lang w:eastAsia="da-DK"/>
        </w:rPr>
        <w:t>Required</w:t>
      </w:r>
      <w:proofErr w:type="spellEnd"/>
      <w:r w:rsidR="0075115E" w:rsidRPr="00DC4F35">
        <w:rPr>
          <w:i/>
          <w:iCs/>
          <w:lang w:eastAsia="da-DK"/>
        </w:rPr>
        <w:t xml:space="preserve"> </w:t>
      </w:r>
      <w:proofErr w:type="spellStart"/>
      <w:r w:rsidR="0075115E" w:rsidRPr="00DC4F35">
        <w:rPr>
          <w:i/>
          <w:iCs/>
          <w:lang w:eastAsia="da-DK"/>
        </w:rPr>
        <w:t>diagnostic</w:t>
      </w:r>
      <w:proofErr w:type="spellEnd"/>
      <w:r w:rsidR="0075115E" w:rsidRPr="00DC4F35">
        <w:rPr>
          <w:i/>
          <w:iCs/>
          <w:lang w:eastAsia="da-DK"/>
        </w:rPr>
        <w:t xml:space="preserve"> data for Office</w:t>
      </w:r>
      <w:r w:rsidR="0075115E" w:rsidRPr="00DC4F35">
        <w:rPr>
          <w:lang w:eastAsia="da-DK"/>
        </w:rPr>
        <w:t>”</w:t>
      </w:r>
      <w:r w:rsidR="00C34FF9" w:rsidRPr="00DC4F35">
        <w:rPr>
          <w:rStyle w:val="Fodnotehenvisning"/>
        </w:rPr>
        <w:t xml:space="preserve"> </w:t>
      </w:r>
      <w:r w:rsidR="00C34FF9" w:rsidRPr="00DC4F35">
        <w:rPr>
          <w:rStyle w:val="Fodnotehenvisning"/>
        </w:rPr>
        <w:footnoteReference w:id="22"/>
      </w:r>
      <w:r w:rsidR="00C34FF9" w:rsidRPr="00DC4F35">
        <w:t xml:space="preserve"> (herefter ”</w:t>
      </w:r>
      <w:proofErr w:type="spellStart"/>
      <w:r w:rsidR="00C34FF9" w:rsidRPr="00DC4F35">
        <w:t>Diagnostic</w:t>
      </w:r>
      <w:proofErr w:type="spellEnd"/>
      <w:r w:rsidR="00C34FF9" w:rsidRPr="00DC4F35">
        <w:t xml:space="preserve"> Data dokumentation”)</w:t>
      </w:r>
      <w:r w:rsidR="00C34FF9" w:rsidRPr="00DC4F35">
        <w:rPr>
          <w:lang w:eastAsia="da-DK"/>
        </w:rPr>
        <w:t xml:space="preserve">. </w:t>
      </w:r>
      <w:r w:rsidR="00C34FF9" w:rsidRPr="00C83C91">
        <w:rPr>
          <w:lang w:val="en-US"/>
        </w:rPr>
        <w:t>Microsoft</w:t>
      </w:r>
      <w:r w:rsidR="00007064" w:rsidRPr="00C83C91">
        <w:rPr>
          <w:lang w:val="en-US"/>
        </w:rPr>
        <w:t xml:space="preserve"> Ireland</w:t>
      </w:r>
      <w:r w:rsidR="00C34FF9" w:rsidRPr="00C83C91">
        <w:rPr>
          <w:lang w:val="en-US"/>
        </w:rPr>
        <w:t xml:space="preserve"> </w:t>
      </w:r>
      <w:proofErr w:type="spellStart"/>
      <w:r w:rsidR="00C34FF9" w:rsidRPr="00C83C91">
        <w:rPr>
          <w:lang w:val="en-US"/>
        </w:rPr>
        <w:t>anfører</w:t>
      </w:r>
      <w:proofErr w:type="spellEnd"/>
      <w:r w:rsidR="00C34FF9" w:rsidRPr="00C83C91">
        <w:rPr>
          <w:lang w:val="en-US"/>
        </w:rPr>
        <w:t xml:space="preserve"> </w:t>
      </w:r>
      <w:proofErr w:type="spellStart"/>
      <w:r w:rsidR="00C34FF9" w:rsidRPr="00C83C91">
        <w:rPr>
          <w:lang w:val="en-US"/>
        </w:rPr>
        <w:t>således</w:t>
      </w:r>
      <w:proofErr w:type="spellEnd"/>
      <w:r w:rsidR="00C34FF9" w:rsidRPr="00C83C91">
        <w:rPr>
          <w:lang w:val="en-US"/>
        </w:rPr>
        <w:t xml:space="preserve"> </w:t>
      </w:r>
      <w:proofErr w:type="spellStart"/>
      <w:r w:rsidR="00C34FF9" w:rsidRPr="00C83C91">
        <w:rPr>
          <w:lang w:val="en-US"/>
        </w:rPr>
        <w:t>følgende</w:t>
      </w:r>
      <w:proofErr w:type="spellEnd"/>
      <w:r w:rsidR="00C34FF9" w:rsidRPr="00C83C91">
        <w:rPr>
          <w:lang w:val="en-US"/>
        </w:rPr>
        <w:t xml:space="preserve">: </w:t>
      </w:r>
    </w:p>
    <w:p w14:paraId="19BE98DC" w14:textId="77777777" w:rsidR="00C34FF9" w:rsidRPr="00C83C91" w:rsidRDefault="00C34FF9" w:rsidP="00C34FF9">
      <w:pPr>
        <w:rPr>
          <w:lang w:val="en-US"/>
        </w:rPr>
      </w:pPr>
    </w:p>
    <w:p w14:paraId="3FFAE8B8" w14:textId="77777777" w:rsidR="00C34FF9" w:rsidRPr="001C19E7" w:rsidRDefault="00C34FF9" w:rsidP="001D3798">
      <w:pPr>
        <w:ind w:left="1276"/>
        <w:rPr>
          <w:i/>
          <w:iCs/>
          <w:lang w:val="en-US"/>
        </w:rPr>
      </w:pPr>
      <w:r w:rsidRPr="001C19E7">
        <w:rPr>
          <w:i/>
          <w:iCs/>
          <w:lang w:val="en-US"/>
        </w:rPr>
        <w:t>“Diagnostic data is used to keep Office secure and up-to-date, detect, diagnose and fix problems, and also make product improvements. This data doesn't include a user's name or email address, the content of the user's files, or information about apps unrelated to Office.</w:t>
      </w:r>
    </w:p>
    <w:p w14:paraId="17BEA88C" w14:textId="77777777" w:rsidR="00C34FF9" w:rsidRPr="001C19E7" w:rsidRDefault="00C34FF9" w:rsidP="001D3798">
      <w:pPr>
        <w:ind w:left="1276"/>
        <w:rPr>
          <w:i/>
          <w:iCs/>
          <w:lang w:val="en-US"/>
        </w:rPr>
      </w:pPr>
    </w:p>
    <w:p w14:paraId="0854C433" w14:textId="77777777" w:rsidR="00C34FF9" w:rsidRPr="001C19E7" w:rsidRDefault="00C34FF9" w:rsidP="001D3798">
      <w:pPr>
        <w:ind w:left="1276"/>
        <w:rPr>
          <w:i/>
          <w:iCs/>
          <w:lang w:val="en-US"/>
        </w:rPr>
      </w:pPr>
      <w:r w:rsidRPr="001C19E7">
        <w:rPr>
          <w:i/>
          <w:iCs/>
          <w:lang w:val="en-US"/>
        </w:rPr>
        <w:t>This diagnostic data is collected and sent to Microsoft about Office client software running on the user's device. Some diagnostic data is required, while some diagnostic data is optional. We give you the ability to choose whether to send us required or optional diagnostic data through the use of privacy controls, such as policy settings for organizations. You can see the diagnostic data being sent to us by using the Diagnostic Data Viewer.</w:t>
      </w:r>
    </w:p>
    <w:p w14:paraId="36F79AFD" w14:textId="77777777" w:rsidR="00C34FF9" w:rsidRPr="001C19E7" w:rsidRDefault="00C34FF9" w:rsidP="001D3798">
      <w:pPr>
        <w:ind w:left="1276"/>
        <w:rPr>
          <w:i/>
          <w:iCs/>
          <w:lang w:val="en-US"/>
        </w:rPr>
      </w:pPr>
    </w:p>
    <w:p w14:paraId="5401BA2B" w14:textId="77777777" w:rsidR="00C34FF9" w:rsidRPr="001C19E7" w:rsidRDefault="00C34FF9" w:rsidP="001D3798">
      <w:pPr>
        <w:ind w:left="1276"/>
        <w:rPr>
          <w:i/>
          <w:iCs/>
          <w:lang w:val="en-US"/>
        </w:rPr>
      </w:pPr>
      <w:r w:rsidRPr="001C19E7">
        <w:rPr>
          <w:b/>
          <w:bCs/>
          <w:i/>
          <w:iCs/>
          <w:lang w:val="en-US"/>
        </w:rPr>
        <w:t>Required diagnostic data</w:t>
      </w:r>
      <w:r w:rsidRPr="001C19E7">
        <w:rPr>
          <w:i/>
          <w:iCs/>
          <w:lang w:val="en-US"/>
        </w:rPr>
        <w:t xml:space="preserve"> is the minimum data necessary to help keep Office secure, up-to-date, and performing as expected on the device it's installed on.</w:t>
      </w:r>
    </w:p>
    <w:p w14:paraId="614FF0CA" w14:textId="77777777" w:rsidR="00C34FF9" w:rsidRPr="001C19E7" w:rsidRDefault="00C34FF9" w:rsidP="001D3798">
      <w:pPr>
        <w:ind w:left="1276"/>
        <w:rPr>
          <w:i/>
          <w:iCs/>
          <w:lang w:val="en-US"/>
        </w:rPr>
      </w:pPr>
    </w:p>
    <w:p w14:paraId="52D5682C" w14:textId="77777777" w:rsidR="00C34FF9" w:rsidRPr="001C19E7" w:rsidRDefault="00C34FF9" w:rsidP="001D3798">
      <w:pPr>
        <w:ind w:left="1276"/>
        <w:rPr>
          <w:i/>
          <w:iCs/>
          <w:lang w:val="en-US"/>
        </w:rPr>
      </w:pPr>
      <w:r w:rsidRPr="001C19E7">
        <w:rPr>
          <w:i/>
          <w:iCs/>
          <w:lang w:val="en-US"/>
        </w:rPr>
        <w:t>Required diagnostic data helps to identify problems with Office that may be related to a device or software configuration. For example, it can help determine if an Office feature crashes more frequently on a particular operating system version, with newly introduced features, or when certain Office features are disabled. Required diagnostic data helps us detect, diagnose, and fix these problems more quickly so the impact to users or organizations is reduced.”</w:t>
      </w:r>
    </w:p>
    <w:p w14:paraId="600A4450" w14:textId="77777777" w:rsidR="00C34FF9" w:rsidRPr="001C19E7" w:rsidRDefault="00C34FF9" w:rsidP="00C34FF9">
      <w:pPr>
        <w:rPr>
          <w:lang w:val="en-US"/>
        </w:rPr>
      </w:pPr>
    </w:p>
    <w:p w14:paraId="04EB9339" w14:textId="19C10FD7" w:rsidR="00C34FF9" w:rsidRPr="00DC4F35" w:rsidRDefault="00A46B63" w:rsidP="00C34FF9">
      <w:r w:rsidRPr="00DC4F35">
        <w:t>D</w:t>
      </w:r>
      <w:r w:rsidR="00C34FF9" w:rsidRPr="00DC4F35">
        <w:t>ata, der indsamles om desktopapplikationerne</w:t>
      </w:r>
      <w:r w:rsidR="007022B8" w:rsidRPr="00DC4F35">
        <w:t>,</w:t>
      </w:r>
      <w:r w:rsidR="00C34FF9" w:rsidRPr="00DC4F35">
        <w:t xml:space="preserve"> og brugen heraf afhænger af de konkrete applikationer, der anvendes.</w:t>
      </w:r>
      <w:r w:rsidRPr="00DC4F35">
        <w:rPr>
          <w:rStyle w:val="Fodnotehenvisning"/>
        </w:rPr>
        <w:footnoteReference w:id="23"/>
      </w:r>
      <w:r w:rsidR="00C34FF9" w:rsidRPr="00DC4F35">
        <w:t xml:space="preserve"> </w:t>
      </w:r>
    </w:p>
    <w:p w14:paraId="5C7BA33C" w14:textId="77777777" w:rsidR="00C34FF9" w:rsidRPr="00DC4F35" w:rsidRDefault="00C34FF9" w:rsidP="00C34FF9"/>
    <w:p w14:paraId="0E32111D" w14:textId="77777777" w:rsidR="00C34FF9" w:rsidRPr="00DC4F35" w:rsidRDefault="00C34FF9" w:rsidP="00C34FF9">
      <w:proofErr w:type="spellStart"/>
      <w:r w:rsidRPr="00DC4F35">
        <w:t>Diagnostic</w:t>
      </w:r>
      <w:proofErr w:type="spellEnd"/>
      <w:r w:rsidRPr="00DC4F35">
        <w:t xml:space="preserve"> Data omfatter f.eks.:  </w:t>
      </w:r>
    </w:p>
    <w:p w14:paraId="31C7309F" w14:textId="77777777" w:rsidR="00C34FF9" w:rsidRPr="00DC4F35" w:rsidRDefault="00C34FF9" w:rsidP="00C34FF9"/>
    <w:p w14:paraId="41A1083F" w14:textId="1E89604F" w:rsidR="00C34FF9" w:rsidRPr="00DC4F35" w:rsidRDefault="00C34FF9" w:rsidP="00C34FF9">
      <w:pPr>
        <w:pStyle w:val="Listeafsnit"/>
        <w:numPr>
          <w:ilvl w:val="0"/>
          <w:numId w:val="49"/>
        </w:numPr>
      </w:pPr>
      <w:r w:rsidRPr="00DC4F35">
        <w:lastRenderedPageBreak/>
        <w:t xml:space="preserve">Information om opsætningen: </w:t>
      </w:r>
      <w:r w:rsidR="007022B8" w:rsidRPr="00DC4F35">
        <w:t xml:space="preserve">Information </w:t>
      </w:r>
      <w:r w:rsidRPr="00DC4F35">
        <w:t>om installerede applikationer, versioner, tilladelser og installationsstatus.</w:t>
      </w:r>
    </w:p>
    <w:p w14:paraId="59C63379" w14:textId="174068D4" w:rsidR="00C34FF9" w:rsidRPr="00DC4F35" w:rsidRDefault="00C34FF9" w:rsidP="00C34FF9">
      <w:pPr>
        <w:pStyle w:val="Listeafsnit"/>
        <w:numPr>
          <w:ilvl w:val="0"/>
          <w:numId w:val="49"/>
        </w:numPr>
      </w:pPr>
      <w:r w:rsidRPr="00DC4F35">
        <w:t xml:space="preserve">Bruger: </w:t>
      </w:r>
      <w:r w:rsidR="007022B8" w:rsidRPr="00DC4F35">
        <w:t xml:space="preserve">Repræsenteret </w:t>
      </w:r>
      <w:r w:rsidRPr="00DC4F35">
        <w:t>ved ”</w:t>
      </w:r>
      <w:proofErr w:type="spellStart"/>
      <w:r w:rsidRPr="00DC4F35">
        <w:t>pseudonymous</w:t>
      </w:r>
      <w:proofErr w:type="spellEnd"/>
      <w:r w:rsidRPr="00DC4F35">
        <w:t xml:space="preserve"> </w:t>
      </w:r>
      <w:proofErr w:type="spellStart"/>
      <w:r w:rsidRPr="00DC4F35">
        <w:t>identifier</w:t>
      </w:r>
      <w:proofErr w:type="spellEnd"/>
      <w:r w:rsidRPr="00DC4F35">
        <w:t xml:space="preserve">” og </w:t>
      </w:r>
      <w:proofErr w:type="spellStart"/>
      <w:r w:rsidRPr="00DC4F35">
        <w:t>tenant</w:t>
      </w:r>
      <w:proofErr w:type="spellEnd"/>
      <w:r w:rsidRPr="00DC4F35">
        <w:t xml:space="preserve"> ID</w:t>
      </w:r>
    </w:p>
    <w:p w14:paraId="23B199F3" w14:textId="77777777" w:rsidR="00C34FF9" w:rsidRPr="00DC4F35" w:rsidRDefault="00C34FF9" w:rsidP="00C34FF9">
      <w:pPr>
        <w:pStyle w:val="Listeafsnit"/>
        <w:numPr>
          <w:ilvl w:val="0"/>
          <w:numId w:val="49"/>
        </w:numPr>
      </w:pPr>
      <w:r w:rsidRPr="00DC4F35">
        <w:t>Client/</w:t>
      </w:r>
      <w:proofErr w:type="spellStart"/>
      <w:r w:rsidRPr="00DC4F35">
        <w:t>device</w:t>
      </w:r>
      <w:proofErr w:type="spellEnd"/>
    </w:p>
    <w:p w14:paraId="6F6BD5D1" w14:textId="1D02545A" w:rsidR="00C34FF9" w:rsidRPr="00DC4F35" w:rsidRDefault="00C34FF9" w:rsidP="00C34FF9">
      <w:pPr>
        <w:pStyle w:val="Listeafsnit"/>
        <w:numPr>
          <w:ilvl w:val="0"/>
          <w:numId w:val="49"/>
        </w:numPr>
      </w:pPr>
      <w:r w:rsidRPr="00DC4F35">
        <w:t xml:space="preserve">Brug: </w:t>
      </w:r>
      <w:r w:rsidR="007022B8" w:rsidRPr="00DC4F35">
        <w:t xml:space="preserve">Visse </w:t>
      </w:r>
      <w:r w:rsidRPr="00DC4F35">
        <w:t>informationer om anvendelsen af funktionalitet i applikationerne</w:t>
      </w:r>
    </w:p>
    <w:p w14:paraId="16F6AB43" w14:textId="7D6AB12C" w:rsidR="00C34FF9" w:rsidRPr="00DC4F35" w:rsidRDefault="00C34FF9" w:rsidP="00C34FF9">
      <w:pPr>
        <w:pStyle w:val="Listeafsnit"/>
        <w:numPr>
          <w:ilvl w:val="0"/>
          <w:numId w:val="49"/>
        </w:numPr>
      </w:pPr>
      <w:r w:rsidRPr="00DC4F35">
        <w:t xml:space="preserve">Events: </w:t>
      </w:r>
      <w:r w:rsidR="007022B8" w:rsidRPr="00DC4F35">
        <w:t xml:space="preserve">Visse </w:t>
      </w:r>
      <w:r w:rsidRPr="00DC4F35">
        <w:t>hændelser og aktiviteter, der registreres i applikationen</w:t>
      </w:r>
    </w:p>
    <w:p w14:paraId="1014F864" w14:textId="77777777" w:rsidR="00C34FF9" w:rsidRPr="00DC4F35" w:rsidRDefault="00C34FF9" w:rsidP="00C34FF9">
      <w:pPr>
        <w:pStyle w:val="Listeafsnit"/>
        <w:numPr>
          <w:ilvl w:val="0"/>
          <w:numId w:val="49"/>
        </w:numPr>
      </w:pPr>
      <w:r w:rsidRPr="00DC4F35">
        <w:t>Enhedsforbindelse og konfiguration: Netværksforbindelsestilstand og enhedsindstillinger såsom hukommelse.</w:t>
      </w:r>
    </w:p>
    <w:p w14:paraId="7C2F0947" w14:textId="77777777" w:rsidR="00487419" w:rsidRPr="00DC4F35" w:rsidRDefault="00487419" w:rsidP="0036440D">
      <w:pPr>
        <w:rPr>
          <w:color w:val="FF0000"/>
          <w:lang w:eastAsia="da-DK"/>
        </w:rPr>
      </w:pPr>
    </w:p>
    <w:p w14:paraId="72B80E26" w14:textId="1ABD3417" w:rsidR="00C34FF9" w:rsidRPr="00DC4F35" w:rsidRDefault="00487419" w:rsidP="0036440D">
      <w:pPr>
        <w:rPr>
          <w:lang w:eastAsia="da-DK"/>
        </w:rPr>
      </w:pPr>
      <w:r w:rsidRPr="00DC4F35">
        <w:rPr>
          <w:lang w:eastAsia="da-DK"/>
        </w:rPr>
        <w:t>Microsoft</w:t>
      </w:r>
      <w:r w:rsidR="00DA3725" w:rsidRPr="00DC4F35">
        <w:rPr>
          <w:lang w:eastAsia="da-DK"/>
        </w:rPr>
        <w:t xml:space="preserve"> Ireland</w:t>
      </w:r>
      <w:r w:rsidRPr="00DC4F35">
        <w:rPr>
          <w:lang w:eastAsia="da-DK"/>
        </w:rPr>
        <w:t xml:space="preserve"> har herudover til brug for konsekvensanalysen oplyst</w:t>
      </w:r>
      <w:r w:rsidR="00DF6C39" w:rsidRPr="00DC4F35">
        <w:rPr>
          <w:lang w:eastAsia="da-DK"/>
        </w:rPr>
        <w:t xml:space="preserve"> følgende:</w:t>
      </w:r>
    </w:p>
    <w:p w14:paraId="34925365" w14:textId="77777777" w:rsidR="00487419" w:rsidRPr="00DC4F35" w:rsidRDefault="00487419" w:rsidP="0036440D">
      <w:pPr>
        <w:rPr>
          <w:color w:val="FF0000"/>
          <w:lang w:eastAsia="da-DK"/>
        </w:rPr>
      </w:pPr>
    </w:p>
    <w:p w14:paraId="7CE994FD" w14:textId="2373F3F2" w:rsidR="00487419" w:rsidRPr="001C19E7" w:rsidRDefault="00487419" w:rsidP="00487419">
      <w:pPr>
        <w:ind w:left="1304"/>
        <w:rPr>
          <w:i/>
          <w:iCs/>
          <w:lang w:val="en-US"/>
        </w:rPr>
      </w:pPr>
      <w:r w:rsidRPr="001C19E7">
        <w:rPr>
          <w:i/>
          <w:iCs/>
          <w:lang w:val="en-US"/>
        </w:rPr>
        <w:t>“There are many services and sub-services in cloud services that together power the aggregate customer experience, and as a requirement to security all of the services create log records of activity in or by the services. Nonetheless, no personal data is permitted to be stored by Microsoft that is not necessary to the functional outcomes including effective security and audit trail of activity (ROPA, Personal Data Minimization</w:t>
      </w:r>
      <w:proofErr w:type="gramStart"/>
      <w:r w:rsidRPr="001C19E7">
        <w:rPr>
          <w:i/>
          <w:iCs/>
          <w:lang w:val="en-US"/>
        </w:rPr>
        <w:t>).“</w:t>
      </w:r>
      <w:proofErr w:type="gramEnd"/>
    </w:p>
    <w:p w14:paraId="68FB4D63" w14:textId="77777777" w:rsidR="0036440D" w:rsidRPr="001C19E7" w:rsidRDefault="0036440D" w:rsidP="0036440D">
      <w:pPr>
        <w:rPr>
          <w:lang w:val="en-US"/>
        </w:rPr>
      </w:pPr>
    </w:p>
    <w:p w14:paraId="0BD4B3E6" w14:textId="56019A90" w:rsidR="0036440D" w:rsidRPr="00DC4F35" w:rsidRDefault="0036440D" w:rsidP="0036440D">
      <w:pPr>
        <w:pStyle w:val="Overskrift2"/>
      </w:pPr>
      <w:bookmarkStart w:id="36" w:name="_Ref163823097"/>
      <w:bookmarkStart w:id="37" w:name="_Ref164289511"/>
      <w:bookmarkStart w:id="38" w:name="_Ref165032669"/>
      <w:bookmarkStart w:id="39" w:name="_Ref165310937"/>
      <w:bookmarkStart w:id="40" w:name="_Toc170824030"/>
      <w:r w:rsidRPr="00DC4F35">
        <w:t xml:space="preserve">Hvad er formålet med </w:t>
      </w:r>
      <w:r w:rsidR="00AD58AF" w:rsidRPr="00DC4F35">
        <w:t>overførslerne</w:t>
      </w:r>
      <w:r w:rsidRPr="00DC4F35">
        <w:t xml:space="preserve"> af personoplysningerne?</w:t>
      </w:r>
      <w:bookmarkEnd w:id="36"/>
      <w:bookmarkEnd w:id="37"/>
      <w:bookmarkEnd w:id="38"/>
      <w:bookmarkEnd w:id="39"/>
      <w:bookmarkEnd w:id="40"/>
    </w:p>
    <w:p w14:paraId="4E060B85" w14:textId="238F3F3D" w:rsidR="00AE1726" w:rsidRPr="00DC4F35" w:rsidRDefault="00AE1726" w:rsidP="00AE1726">
      <w:pPr>
        <w:pStyle w:val="Overskrift3"/>
      </w:pPr>
      <w:bookmarkStart w:id="41" w:name="_Toc170824031"/>
      <w:r w:rsidRPr="00DC4F35">
        <w:t>Tilsigtede overførsler til underdatabehandlere uden</w:t>
      </w:r>
      <w:r w:rsidR="00375A31" w:rsidRPr="00DC4F35">
        <w:t xml:space="preserve"> </w:t>
      </w:r>
      <w:r w:rsidRPr="00DC4F35">
        <w:t xml:space="preserve">for EU/EØS, hvor der sker overladelse til underdatabehandlere i tredjelande i forbindelse med levering af applikationer og cloudtjenester (undtagelser til EU Data </w:t>
      </w:r>
      <w:proofErr w:type="spellStart"/>
      <w:r w:rsidRPr="00DC4F35">
        <w:t>Boundary</w:t>
      </w:r>
      <w:proofErr w:type="spellEnd"/>
      <w:r w:rsidRPr="00DC4F35">
        <w:t>)</w:t>
      </w:r>
      <w:bookmarkEnd w:id="41"/>
    </w:p>
    <w:p w14:paraId="35666AED" w14:textId="7310D237" w:rsidR="00AE1726" w:rsidRPr="00DC4F35" w:rsidRDefault="00AE1726" w:rsidP="00AE1726">
      <w:r w:rsidRPr="00DC4F35">
        <w:t>I det følgende beskrives formålene med de tilsigtede overførsler af personoplysninger til Microsoft Irelands underdatabehandlere i tredjelande som følge af Microsoft Irelands levering af tjenesterne og services som databehandler (tilsigtede overførsler).</w:t>
      </w:r>
    </w:p>
    <w:p w14:paraId="0324EA80" w14:textId="77777777" w:rsidR="00F21BC6" w:rsidRPr="00DC4F35" w:rsidRDefault="00F21BC6" w:rsidP="0036440D">
      <w:pPr>
        <w:rPr>
          <w:rFonts w:cstheme="minorHAnsi"/>
        </w:rPr>
      </w:pPr>
    </w:p>
    <w:p w14:paraId="5043AF0B" w14:textId="43EEACB4" w:rsidR="009963C6" w:rsidRPr="00DC4F35" w:rsidRDefault="0036440D" w:rsidP="0036440D">
      <w:pPr>
        <w:rPr>
          <w:rFonts w:cstheme="minorHAnsi"/>
        </w:rPr>
      </w:pPr>
      <w:r w:rsidRPr="00DC4F35">
        <w:rPr>
          <w:rFonts w:cstheme="minorHAnsi"/>
        </w:rPr>
        <w:t xml:space="preserve">Microsoft </w:t>
      </w:r>
      <w:r w:rsidR="007F0B6C" w:rsidRPr="00DC4F35">
        <w:rPr>
          <w:rFonts w:cstheme="minorHAnsi"/>
        </w:rPr>
        <w:t xml:space="preserve">Ireland </w:t>
      </w:r>
      <w:r w:rsidRPr="00DC4F35">
        <w:rPr>
          <w:rFonts w:cstheme="minorHAnsi"/>
        </w:rPr>
        <w:t xml:space="preserve">angiver i </w:t>
      </w:r>
      <w:r w:rsidR="000B1A6F" w:rsidRPr="00DC4F35">
        <w:t xml:space="preserve">EU Data </w:t>
      </w:r>
      <w:proofErr w:type="spellStart"/>
      <w:r w:rsidR="000B1A6F" w:rsidRPr="00DC4F35">
        <w:t>Boundary</w:t>
      </w:r>
      <w:proofErr w:type="spellEnd"/>
      <w:r w:rsidR="000B1A6F" w:rsidRPr="00DC4F35">
        <w:t xml:space="preserve"> </w:t>
      </w:r>
      <w:r w:rsidRPr="00DC4F35">
        <w:rPr>
          <w:rFonts w:cstheme="minorHAnsi"/>
        </w:rPr>
        <w:t>do</w:t>
      </w:r>
      <w:r w:rsidR="000B1A6F" w:rsidRPr="00DC4F35">
        <w:rPr>
          <w:rFonts w:cstheme="minorHAnsi"/>
        </w:rPr>
        <w:t>k</w:t>
      </w:r>
      <w:r w:rsidRPr="00DC4F35">
        <w:rPr>
          <w:rFonts w:cstheme="minorHAnsi"/>
        </w:rPr>
        <w:t xml:space="preserve">umentation vedrørende EU Data </w:t>
      </w:r>
      <w:proofErr w:type="spellStart"/>
      <w:r w:rsidRPr="00DC4F35">
        <w:rPr>
          <w:rFonts w:cstheme="minorHAnsi"/>
        </w:rPr>
        <w:t>Boundary</w:t>
      </w:r>
      <w:proofErr w:type="spellEnd"/>
      <w:r w:rsidRPr="00DC4F35">
        <w:rPr>
          <w:rFonts w:cstheme="minorHAnsi"/>
        </w:rPr>
        <w:t xml:space="preserve"> eksplicit, hvilke formål der ligger til grund for den konkrete undtagelse til EU Data </w:t>
      </w:r>
      <w:proofErr w:type="spellStart"/>
      <w:r w:rsidRPr="00DC4F35">
        <w:rPr>
          <w:rFonts w:cstheme="minorHAnsi"/>
        </w:rPr>
        <w:t>Boundary</w:t>
      </w:r>
      <w:proofErr w:type="spellEnd"/>
      <w:r w:rsidRPr="00DC4F35">
        <w:rPr>
          <w:rFonts w:cstheme="minorHAnsi"/>
        </w:rPr>
        <w:t xml:space="preserve"> og dermed overførsel. </w:t>
      </w:r>
      <w:r w:rsidR="009963C6" w:rsidRPr="00DC4F35">
        <w:rPr>
          <w:rFonts w:cstheme="minorHAnsi"/>
        </w:rPr>
        <w:t>Dette er nærmere beskrevet i det følgende:</w:t>
      </w:r>
    </w:p>
    <w:p w14:paraId="246DD32C" w14:textId="77777777" w:rsidR="009963C6" w:rsidRPr="00DC4F35" w:rsidRDefault="009963C6" w:rsidP="0036440D">
      <w:pPr>
        <w:rPr>
          <w:rFonts w:cstheme="minorHAnsi"/>
        </w:rPr>
      </w:pPr>
    </w:p>
    <w:p w14:paraId="601E0E3D" w14:textId="77777777" w:rsidR="009963C6" w:rsidRPr="00DC4F35" w:rsidRDefault="009963C6" w:rsidP="009963C6">
      <w:pPr>
        <w:pStyle w:val="Overskrift4"/>
      </w:pPr>
      <w:bookmarkStart w:id="42" w:name="_Ref160790921"/>
      <w:bookmarkStart w:id="43" w:name="_Toc162873922"/>
      <w:r w:rsidRPr="00DC4F35">
        <w:t>Overførsel med henblik på opretholdelse af services</w:t>
      </w:r>
      <w:r w:rsidRPr="00DC4F35">
        <w:rPr>
          <w:rStyle w:val="Fodnotehenvisning"/>
        </w:rPr>
        <w:footnoteReference w:id="24"/>
      </w:r>
      <w:bookmarkEnd w:id="42"/>
      <w:bookmarkEnd w:id="43"/>
    </w:p>
    <w:p w14:paraId="5419A2B7" w14:textId="1356C5DD" w:rsidR="009963C6" w:rsidRPr="00DC4F35" w:rsidRDefault="009963C6" w:rsidP="009963C6">
      <w:r w:rsidRPr="00DC4F35">
        <w:t xml:space="preserve">Microsoft </w:t>
      </w:r>
      <w:r w:rsidR="00F22EE3" w:rsidRPr="00DC4F35">
        <w:t xml:space="preserve">Ireland </w:t>
      </w:r>
      <w:r w:rsidRPr="00DC4F35">
        <w:t xml:space="preserve">skriver i EU Data </w:t>
      </w:r>
      <w:proofErr w:type="spellStart"/>
      <w:r w:rsidRPr="00DC4F35">
        <w:t>Boundary</w:t>
      </w:r>
      <w:proofErr w:type="spellEnd"/>
      <w:r w:rsidRPr="00DC4F35">
        <w:t xml:space="preserve"> dokumentationen, at det kan være nødvendigt at tilgå Customer Data og System-</w:t>
      </w:r>
      <w:proofErr w:type="spellStart"/>
      <w:r w:rsidRPr="00DC4F35">
        <w:t>Generated</w:t>
      </w:r>
      <w:proofErr w:type="spellEnd"/>
      <w:r w:rsidRPr="00DC4F35">
        <w:t xml:space="preserve"> Logs for at reparere/opretholde en service. Det sker i så fald ved ”Remote Access” som beskrevet i </w:t>
      </w:r>
      <w:r w:rsidR="00DB5315" w:rsidRPr="00DC4F35">
        <w:fldChar w:fldCharType="begin"/>
      </w:r>
      <w:r w:rsidR="00DB5315" w:rsidRPr="00DC4F35">
        <w:instrText xml:space="preserve"> REF _Ref167400343 \r \h </w:instrText>
      </w:r>
      <w:r w:rsidR="00DB5315" w:rsidRPr="00DC4F35">
        <w:fldChar w:fldCharType="separate"/>
      </w:r>
      <w:r w:rsidR="00C05EBE">
        <w:t>3.2.2</w:t>
      </w:r>
      <w:r w:rsidR="00DB5315" w:rsidRPr="00DC4F35">
        <w:fldChar w:fldCharType="end"/>
      </w:r>
      <w:r w:rsidRPr="00DC4F35">
        <w:t xml:space="preserve">. Behovet for at tilgå Customer Data er sjældent.   </w:t>
      </w:r>
    </w:p>
    <w:p w14:paraId="768439CB" w14:textId="77777777" w:rsidR="009963C6" w:rsidRPr="00DC4F35" w:rsidRDefault="009963C6" w:rsidP="009963C6"/>
    <w:p w14:paraId="49AA0F7D" w14:textId="77777777" w:rsidR="009963C6" w:rsidRPr="00DC4F35" w:rsidRDefault="009963C6" w:rsidP="009963C6">
      <w:pPr>
        <w:pStyle w:val="Overskrift4"/>
      </w:pPr>
      <w:bookmarkStart w:id="44" w:name="_Ref160528916"/>
      <w:bookmarkStart w:id="45" w:name="_Toc162873923"/>
      <w:r w:rsidRPr="00DC4F35">
        <w:t>Overførsel med henblik på “</w:t>
      </w:r>
      <w:proofErr w:type="spellStart"/>
      <w:r w:rsidRPr="00DC4F35">
        <w:t>protecting</w:t>
      </w:r>
      <w:proofErr w:type="spellEnd"/>
      <w:r w:rsidRPr="00DC4F35">
        <w:t xml:space="preserve"> </w:t>
      </w:r>
      <w:proofErr w:type="spellStart"/>
      <w:r w:rsidRPr="00DC4F35">
        <w:t>customers</w:t>
      </w:r>
      <w:proofErr w:type="spellEnd"/>
      <w:r w:rsidRPr="00DC4F35">
        <w:t>”</w:t>
      </w:r>
      <w:bookmarkEnd w:id="44"/>
      <w:bookmarkEnd w:id="45"/>
    </w:p>
    <w:p w14:paraId="189E8CE3" w14:textId="345EEEE8" w:rsidR="009963C6" w:rsidRPr="00DC4F35" w:rsidRDefault="009963C6" w:rsidP="009963C6">
      <w:r w:rsidRPr="00DC4F35">
        <w:t xml:space="preserve">Ifølge EU Data </w:t>
      </w:r>
      <w:proofErr w:type="spellStart"/>
      <w:r w:rsidRPr="00DC4F35">
        <w:t>Boundary</w:t>
      </w:r>
      <w:proofErr w:type="spellEnd"/>
      <w:r w:rsidRPr="00DC4F35">
        <w:t xml:space="preserve"> dokumentationen overfører Microsoft</w:t>
      </w:r>
      <w:r w:rsidR="00691CAB" w:rsidRPr="00DC4F35">
        <w:t xml:space="preserve"> Ireland</w:t>
      </w:r>
      <w:r w:rsidRPr="00DC4F35">
        <w:t xml:space="preserve"> begrænsede </w:t>
      </w:r>
      <w:proofErr w:type="spellStart"/>
      <w:r w:rsidRPr="00DC4F35">
        <w:t>pseudonymiserede</w:t>
      </w:r>
      <w:proofErr w:type="spellEnd"/>
      <w:r w:rsidRPr="00DC4F35">
        <w:t xml:space="preserve"> personoplysninger og </w:t>
      </w:r>
      <w:r w:rsidR="00691CAB" w:rsidRPr="00DC4F35">
        <w:t>–</w:t>
      </w:r>
      <w:r w:rsidRPr="00DC4F35">
        <w:t xml:space="preserve"> i sjældne tilfælde </w:t>
      </w:r>
      <w:r w:rsidR="00691CAB" w:rsidRPr="00DC4F35">
        <w:t>–</w:t>
      </w:r>
      <w:r w:rsidRPr="00DC4F35">
        <w:t xml:space="preserve"> begrænsede dele af Customer Data ud af EU Data </w:t>
      </w:r>
      <w:proofErr w:type="spellStart"/>
      <w:r w:rsidRPr="00DC4F35">
        <w:t>Boundary</w:t>
      </w:r>
      <w:proofErr w:type="spellEnd"/>
      <w:r w:rsidRPr="00DC4F35">
        <w:t xml:space="preserve"> med henblik på at beskytte mod globale </w:t>
      </w:r>
      <w:proofErr w:type="spellStart"/>
      <w:r w:rsidRPr="00DC4F35">
        <w:t>cybersikkerhedstrusler</w:t>
      </w:r>
      <w:proofErr w:type="spellEnd"/>
      <w:r w:rsidRPr="00DC4F35">
        <w:t xml:space="preserve">. Om sådanne overførsler fremgår </w:t>
      </w:r>
      <w:r w:rsidR="00691CAB" w:rsidRPr="00DC4F35">
        <w:t xml:space="preserve">følgende </w:t>
      </w:r>
      <w:r w:rsidRPr="00DC4F35">
        <w:t xml:space="preserve">af EU Data </w:t>
      </w:r>
      <w:proofErr w:type="spellStart"/>
      <w:r w:rsidRPr="00DC4F35">
        <w:t>Boundary</w:t>
      </w:r>
      <w:proofErr w:type="spellEnd"/>
      <w:r w:rsidRPr="00DC4F35">
        <w:t xml:space="preserve"> dokumentationen:  </w:t>
      </w:r>
    </w:p>
    <w:p w14:paraId="158F9584" w14:textId="77777777" w:rsidR="009963C6" w:rsidRPr="00DC4F35" w:rsidRDefault="009963C6" w:rsidP="009963C6"/>
    <w:p w14:paraId="4067B382" w14:textId="5193B98A" w:rsidR="009963C6" w:rsidRPr="001C19E7" w:rsidRDefault="009963C6" w:rsidP="001D3798">
      <w:pPr>
        <w:ind w:left="1276"/>
        <w:rPr>
          <w:i/>
          <w:iCs/>
          <w:lang w:val="en-US"/>
        </w:rPr>
      </w:pPr>
      <w:proofErr w:type="gramStart"/>
      <w:r w:rsidRPr="001C19E7">
        <w:rPr>
          <w:i/>
          <w:iCs/>
          <w:lang w:val="en-US"/>
        </w:rPr>
        <w:t>”Access</w:t>
      </w:r>
      <w:proofErr w:type="gramEnd"/>
      <w:r w:rsidRPr="001C19E7">
        <w:rPr>
          <w:i/>
          <w:iCs/>
          <w:lang w:val="en-US"/>
        </w:rPr>
        <w:t xml:space="preserve"> to the limited Customer Data and pseudonymized personal data transferred out of the EU for security operations is restricted to Microsoft security personnel, and the usage is restricted to security purposes, including detecting, investigating, mitigating, and responding to security incidents. Transferred Customer Data and pseudonymized personal data are protected through encryption and access restrictions. More information about access to data stored and processed in the EU Data Boundary is covered earlier in this article”.</w:t>
      </w:r>
    </w:p>
    <w:p w14:paraId="655E51CC" w14:textId="77777777" w:rsidR="009963C6" w:rsidRPr="001C19E7" w:rsidRDefault="009963C6" w:rsidP="009963C6">
      <w:pPr>
        <w:ind w:left="709"/>
        <w:rPr>
          <w:lang w:val="en-US"/>
        </w:rPr>
      </w:pPr>
    </w:p>
    <w:p w14:paraId="6E74FB90" w14:textId="77777777" w:rsidR="009963C6" w:rsidRPr="00DC4F35" w:rsidRDefault="009963C6" w:rsidP="009963C6">
      <w:r w:rsidRPr="00DC4F35">
        <w:t>Oplysningerne bruges overordnet set på tre måder, nemlig til ”</w:t>
      </w:r>
      <w:proofErr w:type="spellStart"/>
      <w:r w:rsidRPr="00DC4F35">
        <w:t>customer-facing</w:t>
      </w:r>
      <w:proofErr w:type="spellEnd"/>
      <w:r w:rsidRPr="00DC4F35">
        <w:t xml:space="preserve"> </w:t>
      </w:r>
      <w:proofErr w:type="spellStart"/>
      <w:r w:rsidRPr="00DC4F35">
        <w:t>capabilities</w:t>
      </w:r>
      <w:proofErr w:type="spellEnd"/>
      <w:r w:rsidRPr="00DC4F35">
        <w:t xml:space="preserve">”, security operations og Security </w:t>
      </w:r>
      <w:proofErr w:type="spellStart"/>
      <w:r w:rsidRPr="00DC4F35">
        <w:t>Threat</w:t>
      </w:r>
      <w:proofErr w:type="spellEnd"/>
      <w:r w:rsidRPr="00DC4F35">
        <w:t xml:space="preserve"> Intelligence. </w:t>
      </w:r>
    </w:p>
    <w:p w14:paraId="18E3B834" w14:textId="77777777" w:rsidR="009963C6" w:rsidRPr="00DC4F35" w:rsidRDefault="009963C6" w:rsidP="009963C6"/>
    <w:p w14:paraId="0FD7D0BA" w14:textId="77777777" w:rsidR="00D043F2" w:rsidRPr="001C19E7" w:rsidRDefault="009963C6" w:rsidP="009963C6">
      <w:pPr>
        <w:rPr>
          <w:lang w:val="en-US"/>
        </w:rPr>
      </w:pPr>
      <w:r w:rsidRPr="00DC4F35">
        <w:t>I relation til ”</w:t>
      </w:r>
      <w:proofErr w:type="spellStart"/>
      <w:r w:rsidRPr="00DC4F35">
        <w:t>customer-facing</w:t>
      </w:r>
      <w:proofErr w:type="spellEnd"/>
      <w:r w:rsidRPr="00DC4F35">
        <w:t xml:space="preserve"> </w:t>
      </w:r>
      <w:proofErr w:type="spellStart"/>
      <w:r w:rsidRPr="00DC4F35">
        <w:t>capabilities</w:t>
      </w:r>
      <w:proofErr w:type="spellEnd"/>
      <w:r w:rsidRPr="00DC4F35">
        <w:t xml:space="preserve">” indeholder EU Data </w:t>
      </w:r>
      <w:proofErr w:type="spellStart"/>
      <w:r w:rsidRPr="00DC4F35">
        <w:t>Boundary</w:t>
      </w:r>
      <w:proofErr w:type="spellEnd"/>
      <w:r w:rsidRPr="00DC4F35">
        <w:t xml:space="preserve"> dokumentationen fire eksempler på, hvordan data inden</w:t>
      </w:r>
      <w:r w:rsidR="00602ED7" w:rsidRPr="00DC4F35">
        <w:t xml:space="preserve"> </w:t>
      </w:r>
      <w:r w:rsidRPr="00DC4F35">
        <w:t xml:space="preserve">for ovennævnte sikkerhedsformål bruges. Disse eksempler omhandler overordnet set træning af AI-modeller til at opdage sikkerhedstrusler, analyse af data med henblik på at opdage trusler, analyse på tværs af regioner med henblik på at opdage kompromitterede brugere og analyse på tværs af regioner med henblik på at opdage </w:t>
      </w:r>
      <w:proofErr w:type="spellStart"/>
      <w:r w:rsidRPr="00DC4F35">
        <w:t>dataeksfiltration</w:t>
      </w:r>
      <w:proofErr w:type="spellEnd"/>
      <w:r w:rsidRPr="00DC4F35">
        <w:t xml:space="preserve"> fra virksomheder (langsomt angreb).</w:t>
      </w:r>
      <w:r w:rsidR="009C12B4" w:rsidRPr="00DC4F35">
        <w:t xml:space="preserve"> Til brug for udarbejdelsen af denne TIA har Økonomistyrelsen og Statens It spurgt Microsoft, om det er muligt for De Dataansvarlige at fravælge overførsler til </w:t>
      </w:r>
      <w:r w:rsidR="00D043F2" w:rsidRPr="00DC4F35">
        <w:t xml:space="preserve">tredjelande til dette formål. </w:t>
      </w:r>
      <w:proofErr w:type="spellStart"/>
      <w:r w:rsidR="00D043F2" w:rsidRPr="001C19E7">
        <w:rPr>
          <w:lang w:val="en-US"/>
        </w:rPr>
        <w:t>Hertil</w:t>
      </w:r>
      <w:proofErr w:type="spellEnd"/>
      <w:r w:rsidR="00D043F2" w:rsidRPr="001C19E7">
        <w:rPr>
          <w:lang w:val="en-US"/>
        </w:rPr>
        <w:t xml:space="preserve"> </w:t>
      </w:r>
      <w:proofErr w:type="spellStart"/>
      <w:r w:rsidR="00D043F2" w:rsidRPr="001C19E7">
        <w:rPr>
          <w:lang w:val="en-US"/>
        </w:rPr>
        <w:t>har</w:t>
      </w:r>
      <w:proofErr w:type="spellEnd"/>
      <w:r w:rsidR="00D043F2" w:rsidRPr="001C19E7">
        <w:rPr>
          <w:lang w:val="en-US"/>
        </w:rPr>
        <w:t xml:space="preserve"> Microsoft </w:t>
      </w:r>
      <w:proofErr w:type="spellStart"/>
      <w:r w:rsidR="00D043F2" w:rsidRPr="001C19E7">
        <w:rPr>
          <w:lang w:val="en-US"/>
        </w:rPr>
        <w:t>svaret</w:t>
      </w:r>
      <w:proofErr w:type="spellEnd"/>
      <w:r w:rsidR="00D043F2" w:rsidRPr="001C19E7">
        <w:rPr>
          <w:lang w:val="en-US"/>
        </w:rPr>
        <w:t xml:space="preserve"> </w:t>
      </w:r>
      <w:proofErr w:type="spellStart"/>
      <w:r w:rsidR="00D043F2" w:rsidRPr="001C19E7">
        <w:rPr>
          <w:lang w:val="en-US"/>
        </w:rPr>
        <w:t>følgende</w:t>
      </w:r>
      <w:proofErr w:type="spellEnd"/>
      <w:r w:rsidR="00D043F2" w:rsidRPr="001C19E7">
        <w:rPr>
          <w:lang w:val="en-US"/>
        </w:rPr>
        <w:t xml:space="preserve">: </w:t>
      </w:r>
    </w:p>
    <w:p w14:paraId="72F6BCA9" w14:textId="77777777" w:rsidR="00D043F2" w:rsidRPr="001C19E7" w:rsidRDefault="00D043F2" w:rsidP="009963C6">
      <w:pPr>
        <w:rPr>
          <w:lang w:val="en-US"/>
        </w:rPr>
      </w:pPr>
    </w:p>
    <w:p w14:paraId="731E6426" w14:textId="08495B2F" w:rsidR="009963C6" w:rsidRPr="001C19E7" w:rsidRDefault="00D043F2" w:rsidP="00D043F2">
      <w:pPr>
        <w:ind w:left="1304" w:firstLine="1"/>
        <w:rPr>
          <w:i/>
          <w:iCs/>
          <w:lang w:val="en-US"/>
        </w:rPr>
      </w:pPr>
      <w:proofErr w:type="gramStart"/>
      <w:r w:rsidRPr="001C19E7">
        <w:rPr>
          <w:i/>
          <w:iCs/>
          <w:lang w:val="en-US"/>
        </w:rPr>
        <w:t>”No.</w:t>
      </w:r>
      <w:proofErr w:type="gramEnd"/>
      <w:r w:rsidRPr="001C19E7">
        <w:rPr>
          <w:i/>
          <w:iCs/>
          <w:lang w:val="en-US"/>
        </w:rPr>
        <w:t xml:space="preserve"> The transfers described in the documentation are part of the built-in Microsoft security operations aimed at protecting customers against global cybersecurity threats.”</w:t>
      </w:r>
    </w:p>
    <w:p w14:paraId="6FF50E06" w14:textId="77777777" w:rsidR="009963C6" w:rsidRPr="001C19E7" w:rsidRDefault="009963C6" w:rsidP="009963C6">
      <w:pPr>
        <w:rPr>
          <w:lang w:val="en-US"/>
        </w:rPr>
      </w:pPr>
    </w:p>
    <w:p w14:paraId="2727DEB6" w14:textId="3F4A9EED" w:rsidR="009963C6" w:rsidRPr="00DC4F35" w:rsidRDefault="009963C6" w:rsidP="009963C6">
      <w:r w:rsidRPr="00DC4F35">
        <w:t>Om placering af data mm., som anvendes til ovenstående ”</w:t>
      </w:r>
      <w:proofErr w:type="spellStart"/>
      <w:r w:rsidRPr="00DC4F35">
        <w:t>customer-facing</w:t>
      </w:r>
      <w:proofErr w:type="spellEnd"/>
      <w:r w:rsidRPr="00DC4F35">
        <w:t xml:space="preserve"> </w:t>
      </w:r>
      <w:proofErr w:type="spellStart"/>
      <w:r w:rsidRPr="00DC4F35">
        <w:t>capabilities</w:t>
      </w:r>
      <w:proofErr w:type="spellEnd"/>
      <w:r w:rsidRPr="00DC4F35">
        <w:t xml:space="preserve">”, fremgår </w:t>
      </w:r>
      <w:r w:rsidR="00AD3E97" w:rsidRPr="00DC4F35">
        <w:t xml:space="preserve">følgende </w:t>
      </w:r>
      <w:r w:rsidRPr="00DC4F35">
        <w:t xml:space="preserve">af EU Data </w:t>
      </w:r>
      <w:proofErr w:type="spellStart"/>
      <w:r w:rsidRPr="00DC4F35">
        <w:t>Boundary</w:t>
      </w:r>
      <w:proofErr w:type="spellEnd"/>
      <w:r w:rsidRPr="00DC4F35">
        <w:t xml:space="preserve"> dokumentationen: </w:t>
      </w:r>
    </w:p>
    <w:p w14:paraId="3F97C090" w14:textId="77777777" w:rsidR="009963C6" w:rsidRPr="00DC4F35" w:rsidRDefault="009963C6" w:rsidP="009963C6">
      <w:pPr>
        <w:rPr>
          <w:i/>
          <w:iCs/>
        </w:rPr>
      </w:pPr>
    </w:p>
    <w:p w14:paraId="3BC322FD" w14:textId="77777777" w:rsidR="009963C6" w:rsidRPr="001C19E7" w:rsidRDefault="009963C6" w:rsidP="001D3798">
      <w:pPr>
        <w:ind w:left="1276"/>
        <w:rPr>
          <w:i/>
          <w:iCs/>
          <w:lang w:val="en-US"/>
        </w:rPr>
      </w:pPr>
      <w:r w:rsidRPr="001C19E7">
        <w:rPr>
          <w:i/>
          <w:iCs/>
          <w:lang w:val="en-US"/>
        </w:rPr>
        <w:t xml:space="preserve">“To minimize the privacy impact of this work, Microsoft's security threat hunter teams limit ongoing transfers to system-generated logs and service configuration information necessary to detect and investigate early indicators of malicious activity or breach. This pseudonymized data is consolidated and stored primarily in the United States but may include other data center regions worldwide for threat detection work as described previously. Pseudonymized </w:t>
      </w:r>
      <w:r w:rsidRPr="001C19E7">
        <w:rPr>
          <w:i/>
          <w:iCs/>
          <w:lang w:val="en-US"/>
        </w:rPr>
        <w:lastRenderedPageBreak/>
        <w:t>personal data is transferred and protected in accordance with the terms of the DPA and applicable contractual commitments. In the rare instances where Customer Data is accessed or transferred as a result of security investigation, it is done so through elevated approvals and controls as set forth in the How Microsoft protects Customer Data section earlier in this article</w:t>
      </w:r>
      <w:r w:rsidRPr="00DC4F35">
        <w:rPr>
          <w:rStyle w:val="Fodnotehenvisning"/>
          <w:i/>
          <w:iCs/>
        </w:rPr>
        <w:footnoteReference w:id="25"/>
      </w:r>
      <w:r w:rsidRPr="001C19E7">
        <w:rPr>
          <w:i/>
          <w:iCs/>
          <w:lang w:val="en-US"/>
        </w:rPr>
        <w:t>.”</w:t>
      </w:r>
    </w:p>
    <w:p w14:paraId="4822131C" w14:textId="77777777" w:rsidR="009963C6" w:rsidRPr="001C19E7" w:rsidRDefault="009963C6" w:rsidP="009963C6">
      <w:pPr>
        <w:rPr>
          <w:i/>
          <w:iCs/>
          <w:lang w:val="en-US"/>
        </w:rPr>
      </w:pPr>
    </w:p>
    <w:p w14:paraId="5E43F2C9" w14:textId="75CAC176" w:rsidR="009963C6" w:rsidRPr="00DC4F35" w:rsidRDefault="009963C6" w:rsidP="009963C6">
      <w:r w:rsidRPr="00DC4F35">
        <w:t>I relation til ”Security Operations”</w:t>
      </w:r>
      <w:r w:rsidRPr="00DC4F35">
        <w:rPr>
          <w:b/>
          <w:bCs/>
        </w:rPr>
        <w:t xml:space="preserve"> </w:t>
      </w:r>
      <w:r w:rsidRPr="00DC4F35">
        <w:t>fremgår</w:t>
      </w:r>
      <w:r w:rsidR="00AD3E97" w:rsidRPr="00DC4F35">
        <w:t xml:space="preserve"> følgende</w:t>
      </w:r>
      <w:r w:rsidRPr="00DC4F35">
        <w:t xml:space="preserve"> af EU Data </w:t>
      </w:r>
      <w:proofErr w:type="spellStart"/>
      <w:r w:rsidRPr="00DC4F35">
        <w:t>Boundary</w:t>
      </w:r>
      <w:proofErr w:type="spellEnd"/>
      <w:r w:rsidRPr="00DC4F35">
        <w:t xml:space="preserve"> dokumentationen: </w:t>
      </w:r>
    </w:p>
    <w:p w14:paraId="6FC5EC26" w14:textId="77777777" w:rsidR="009963C6" w:rsidRPr="00DC4F35" w:rsidRDefault="009963C6" w:rsidP="009963C6"/>
    <w:p w14:paraId="1701538F" w14:textId="77777777" w:rsidR="009963C6" w:rsidRPr="001C19E7" w:rsidRDefault="009963C6" w:rsidP="001D3798">
      <w:pPr>
        <w:ind w:left="1276"/>
        <w:rPr>
          <w:i/>
          <w:iCs/>
          <w:lang w:val="en-US"/>
        </w:rPr>
      </w:pPr>
      <w:r w:rsidRPr="001C19E7">
        <w:rPr>
          <w:i/>
          <w:iCs/>
          <w:lang w:val="en-US"/>
        </w:rPr>
        <w:t xml:space="preserve">“Microsoft security operations use a collection of internal services to monitor, investigate, and respond to threats facing the platforms customers rely on for their daily operations. The cross-geo boundary pseudonymized personal data or limited Customer Data processed for these operations helps block malicious attempts against the cloud infrastructure and Microsoft online services. </w:t>
      </w:r>
    </w:p>
    <w:p w14:paraId="28EF6234" w14:textId="77777777" w:rsidR="009963C6" w:rsidRPr="001C19E7" w:rsidRDefault="009963C6" w:rsidP="001D3798">
      <w:pPr>
        <w:ind w:left="1276"/>
        <w:rPr>
          <w:i/>
          <w:iCs/>
          <w:lang w:val="en-US"/>
        </w:rPr>
      </w:pPr>
    </w:p>
    <w:p w14:paraId="029722C9" w14:textId="77777777" w:rsidR="009963C6" w:rsidRPr="001C19E7" w:rsidRDefault="009963C6" w:rsidP="001D3798">
      <w:pPr>
        <w:ind w:left="1276"/>
        <w:rPr>
          <w:i/>
          <w:iCs/>
          <w:lang w:val="en-US"/>
        </w:rPr>
      </w:pPr>
      <w:r w:rsidRPr="001C19E7">
        <w:rPr>
          <w:i/>
          <w:iCs/>
          <w:lang w:val="en-US"/>
        </w:rPr>
        <w:t>Pseudonymized personal data processed for security purposes is transferred to any Azure region worldwide. This enables Microsoft’s security operations, like the Microsoft Security Response Center (MSRC), to provide security services 24 hours a day, 365 days a year in an efficient and effective manner in response to worldwide threats. The data is used in monitoring, investigations, and response to security incidents within Microsoft’s platform, products, and services, protecting customers and Microsoft from threats to their security and privacy. For example, when an IP address or phone number is determined to be used in fraudulent activities, it is published globally to block access from any workloads using it.</w:t>
      </w:r>
    </w:p>
    <w:p w14:paraId="7B1E2DD7" w14:textId="77777777" w:rsidR="009963C6" w:rsidRPr="001C19E7" w:rsidRDefault="009963C6" w:rsidP="009963C6">
      <w:pPr>
        <w:rPr>
          <w:i/>
          <w:iCs/>
          <w:lang w:val="en-US"/>
        </w:rPr>
      </w:pPr>
    </w:p>
    <w:p w14:paraId="4FD1937B" w14:textId="77777777" w:rsidR="009963C6" w:rsidRPr="001C19E7" w:rsidRDefault="009963C6" w:rsidP="0050739D">
      <w:pPr>
        <w:pStyle w:val="Listeafsnit"/>
        <w:numPr>
          <w:ilvl w:val="0"/>
          <w:numId w:val="40"/>
        </w:numPr>
        <w:ind w:left="1701"/>
        <w:rPr>
          <w:i/>
          <w:iCs/>
          <w:lang w:val="en-US"/>
        </w:rPr>
      </w:pPr>
      <w:r w:rsidRPr="001C19E7">
        <w:rPr>
          <w:i/>
          <w:iCs/>
          <w:lang w:val="en-US"/>
        </w:rPr>
        <w:t>Security analysts access aggregated data from locations around the globe, as MSRC has a follow-the-sun operation model, with distributed expertise and skills to provide continuous monitoring and response for security investigations, including, but not limited to the following scenarios: Customer identified malicious activity in their tenant or subscriptions and contacted Microsoft support for help resolving the incident.</w:t>
      </w:r>
    </w:p>
    <w:p w14:paraId="3613C8B3" w14:textId="77777777" w:rsidR="009963C6" w:rsidRPr="001C19E7" w:rsidRDefault="009963C6" w:rsidP="0050739D">
      <w:pPr>
        <w:ind w:left="1701"/>
        <w:rPr>
          <w:i/>
          <w:iCs/>
          <w:lang w:val="en-US"/>
        </w:rPr>
      </w:pPr>
    </w:p>
    <w:p w14:paraId="30074DE6" w14:textId="77777777" w:rsidR="009963C6" w:rsidRPr="001C19E7" w:rsidRDefault="009963C6" w:rsidP="0050739D">
      <w:pPr>
        <w:pStyle w:val="Listeafsnit"/>
        <w:numPr>
          <w:ilvl w:val="0"/>
          <w:numId w:val="40"/>
        </w:numPr>
        <w:ind w:left="1701"/>
        <w:rPr>
          <w:i/>
          <w:iCs/>
          <w:lang w:val="en-US"/>
        </w:rPr>
      </w:pPr>
      <w:r w:rsidRPr="001C19E7">
        <w:rPr>
          <w:i/>
          <w:iCs/>
          <w:lang w:val="en-US"/>
        </w:rPr>
        <w:t>MSRC has a clear indication(s) of compromise in a customer tenant, subscription, or resource and notifies the customer, helps investigate, and respond to the incident, following approval from the customer.</w:t>
      </w:r>
    </w:p>
    <w:p w14:paraId="2344465A" w14:textId="77777777" w:rsidR="009963C6" w:rsidRPr="001C19E7" w:rsidRDefault="009963C6" w:rsidP="0050739D">
      <w:pPr>
        <w:ind w:left="1701"/>
        <w:rPr>
          <w:i/>
          <w:iCs/>
          <w:lang w:val="en-US"/>
        </w:rPr>
      </w:pPr>
    </w:p>
    <w:p w14:paraId="0D4B9D5A" w14:textId="77777777" w:rsidR="009963C6" w:rsidRPr="001C19E7" w:rsidRDefault="009963C6" w:rsidP="0050739D">
      <w:pPr>
        <w:pStyle w:val="Listeafsnit"/>
        <w:numPr>
          <w:ilvl w:val="0"/>
          <w:numId w:val="40"/>
        </w:numPr>
        <w:ind w:left="1701"/>
        <w:rPr>
          <w:i/>
          <w:iCs/>
          <w:lang w:val="en-US"/>
        </w:rPr>
      </w:pPr>
      <w:r w:rsidRPr="001C19E7">
        <w:rPr>
          <w:i/>
          <w:iCs/>
          <w:lang w:val="en-US"/>
        </w:rPr>
        <w:t>Through the course of the investigation, if a customer-impacting privacy incident is identified, MSRC would, following a strict protocol, do further investigation to support the notification and response to the privacy-impacting incident.</w:t>
      </w:r>
    </w:p>
    <w:p w14:paraId="28E03115" w14:textId="77777777" w:rsidR="009963C6" w:rsidRPr="001C19E7" w:rsidRDefault="009963C6" w:rsidP="0050739D">
      <w:pPr>
        <w:ind w:left="1701"/>
        <w:rPr>
          <w:i/>
          <w:iCs/>
          <w:lang w:val="en-US"/>
        </w:rPr>
      </w:pPr>
    </w:p>
    <w:p w14:paraId="3BC7ACA0" w14:textId="77777777" w:rsidR="009963C6" w:rsidRPr="001C19E7" w:rsidRDefault="009963C6" w:rsidP="0050739D">
      <w:pPr>
        <w:pStyle w:val="Listeafsnit"/>
        <w:numPr>
          <w:ilvl w:val="0"/>
          <w:numId w:val="40"/>
        </w:numPr>
        <w:ind w:left="1701"/>
        <w:rPr>
          <w:i/>
          <w:iCs/>
          <w:lang w:val="en-US"/>
        </w:rPr>
      </w:pPr>
      <w:r w:rsidRPr="001C19E7">
        <w:rPr>
          <w:i/>
          <w:iCs/>
          <w:lang w:val="en-US"/>
        </w:rPr>
        <w:t>Sharing of threat intelligence and investigation details among Microsoft internal security teams for agile response and remediation.”</w:t>
      </w:r>
    </w:p>
    <w:p w14:paraId="7636403A" w14:textId="77777777" w:rsidR="009963C6" w:rsidRPr="001C19E7" w:rsidRDefault="009963C6" w:rsidP="009963C6">
      <w:pPr>
        <w:rPr>
          <w:lang w:val="en-US"/>
        </w:rPr>
      </w:pPr>
    </w:p>
    <w:p w14:paraId="1A4AE390" w14:textId="77777777" w:rsidR="009963C6" w:rsidRPr="00DC4F35" w:rsidRDefault="009963C6" w:rsidP="009963C6">
      <w:r w:rsidRPr="00DC4F35">
        <w:t xml:space="preserve">Om “Security </w:t>
      </w:r>
      <w:proofErr w:type="spellStart"/>
      <w:r w:rsidRPr="00DC4F35">
        <w:t>Threat</w:t>
      </w:r>
      <w:proofErr w:type="spellEnd"/>
      <w:r w:rsidRPr="00DC4F35">
        <w:t xml:space="preserve"> Intelligence” fremgår følgende af EU Data </w:t>
      </w:r>
      <w:proofErr w:type="spellStart"/>
      <w:r w:rsidRPr="00DC4F35">
        <w:t>Boundary</w:t>
      </w:r>
      <w:proofErr w:type="spellEnd"/>
      <w:r w:rsidRPr="00DC4F35">
        <w:t xml:space="preserve"> dokumentationen:</w:t>
      </w:r>
    </w:p>
    <w:p w14:paraId="4608D3C5" w14:textId="77777777" w:rsidR="009963C6" w:rsidRPr="00DC4F35" w:rsidRDefault="009963C6" w:rsidP="0050739D">
      <w:pPr>
        <w:ind w:left="1276"/>
      </w:pPr>
    </w:p>
    <w:p w14:paraId="5BB0F8D8" w14:textId="77777777" w:rsidR="009963C6" w:rsidRPr="001C19E7" w:rsidRDefault="009963C6" w:rsidP="0050739D">
      <w:pPr>
        <w:ind w:leftChars="638" w:left="1276"/>
        <w:rPr>
          <w:i/>
          <w:iCs/>
          <w:lang w:val="en-US"/>
        </w:rPr>
      </w:pPr>
      <w:r w:rsidRPr="001C19E7">
        <w:rPr>
          <w:i/>
          <w:iCs/>
          <w:lang w:val="en-US"/>
        </w:rPr>
        <w:t>“Microsoft threat intelligence services monitor, investigate, and respond to threats facing customer environments. Data collected for security investigations may include pseudonymized personal data in system-generated logs and limited Customer Data. This data is used to help block malicious attempts against our customers’ cloud infrastructures and provide timely threat intelligence and indications of compromise to organizations, helping them to increase their level of protection.</w:t>
      </w:r>
    </w:p>
    <w:p w14:paraId="2F474CDD" w14:textId="77777777" w:rsidR="009963C6" w:rsidRPr="001C19E7" w:rsidRDefault="009963C6" w:rsidP="0050739D">
      <w:pPr>
        <w:ind w:leftChars="638" w:left="1276"/>
        <w:rPr>
          <w:i/>
          <w:iCs/>
          <w:lang w:val="en-US"/>
        </w:rPr>
      </w:pPr>
    </w:p>
    <w:p w14:paraId="5D5C7E52" w14:textId="77777777" w:rsidR="009963C6" w:rsidRPr="001C19E7" w:rsidRDefault="009963C6" w:rsidP="0050739D">
      <w:pPr>
        <w:ind w:leftChars="638" w:left="1276"/>
        <w:rPr>
          <w:i/>
          <w:iCs/>
          <w:lang w:val="en-US"/>
        </w:rPr>
      </w:pPr>
      <w:r w:rsidRPr="001C19E7">
        <w:rPr>
          <w:i/>
          <w:iCs/>
          <w:lang w:val="en-US"/>
        </w:rPr>
        <w:t>For threat investigations where evidence of a Nation State Threat or other malicious actions by sophisticated actors is detected, the Microsoft teams gathering threat intelligence, like the Microsoft Threat Intelligence Center (MSTIC), alert customers of the noted activity. MSTIC can identify malicious activity through globally consolidated system-generated logs and diagnostic data collected from various Microsoft products and services, in conjunction with expert analysis by MSTIC personnel.</w:t>
      </w:r>
    </w:p>
    <w:p w14:paraId="4066E6EE" w14:textId="77777777" w:rsidR="009963C6" w:rsidRPr="001C19E7" w:rsidRDefault="009963C6" w:rsidP="0050739D">
      <w:pPr>
        <w:ind w:leftChars="354" w:left="708"/>
        <w:rPr>
          <w:i/>
          <w:iCs/>
          <w:lang w:val="en-US"/>
        </w:rPr>
      </w:pPr>
    </w:p>
    <w:p w14:paraId="46B61BD1" w14:textId="2C6D213C" w:rsidR="009963C6" w:rsidRPr="001C19E7" w:rsidRDefault="009963C6" w:rsidP="0050739D">
      <w:pPr>
        <w:ind w:leftChars="638" w:left="1276"/>
        <w:rPr>
          <w:i/>
          <w:iCs/>
          <w:lang w:val="en-US"/>
        </w:rPr>
      </w:pPr>
      <w:r w:rsidRPr="001C19E7">
        <w:rPr>
          <w:i/>
          <w:iCs/>
          <w:lang w:val="en-US"/>
        </w:rPr>
        <w:t>Access by geographically dispersed analyst teams to globally consolidated system generated logs for security purposes is critically important to timely identification of an attack or breach, providing a non-interrupted investigation. MSTIC analysts possess specific attacker knowledge and skills that cannot simply be replicated in other regions as they may have specific regional adversary expertise. As a result, MSTIC analysis operations necessarily cross geopolitical boundaries to provide customers with the highest level of expertise. For additional information on access controls, see Remote access to data stored and processed in the EU Data Boundary earlier in this article.</w:t>
      </w:r>
    </w:p>
    <w:p w14:paraId="5355F538" w14:textId="77777777" w:rsidR="009963C6" w:rsidRPr="001C19E7" w:rsidRDefault="009963C6" w:rsidP="0050739D">
      <w:pPr>
        <w:ind w:leftChars="638" w:left="1276"/>
        <w:rPr>
          <w:i/>
          <w:iCs/>
          <w:lang w:val="en-US"/>
        </w:rPr>
      </w:pPr>
    </w:p>
    <w:p w14:paraId="23AD4C72" w14:textId="77777777" w:rsidR="009963C6" w:rsidRPr="001C19E7" w:rsidRDefault="009963C6" w:rsidP="0050739D">
      <w:pPr>
        <w:ind w:leftChars="638" w:left="1276"/>
        <w:rPr>
          <w:i/>
          <w:iCs/>
          <w:lang w:val="en-US"/>
        </w:rPr>
      </w:pPr>
      <w:r w:rsidRPr="001C19E7">
        <w:rPr>
          <w:i/>
          <w:iCs/>
          <w:lang w:val="en-US"/>
        </w:rPr>
        <w:t>Providing customers with the best threat intelligence requires MSTIC to leverage global signals for scenarios like:</w:t>
      </w:r>
    </w:p>
    <w:p w14:paraId="4A5A88DB" w14:textId="77777777" w:rsidR="009963C6" w:rsidRPr="001C19E7" w:rsidRDefault="009963C6" w:rsidP="009963C6">
      <w:pPr>
        <w:ind w:leftChars="567" w:left="1134"/>
        <w:rPr>
          <w:i/>
          <w:iCs/>
          <w:lang w:val="en-US"/>
        </w:rPr>
      </w:pPr>
    </w:p>
    <w:p w14:paraId="0E41126D" w14:textId="77777777" w:rsidR="009963C6" w:rsidRPr="001C19E7" w:rsidRDefault="009963C6" w:rsidP="0050739D">
      <w:pPr>
        <w:pStyle w:val="Listeafsnit"/>
        <w:numPr>
          <w:ilvl w:val="0"/>
          <w:numId w:val="41"/>
        </w:numPr>
        <w:ind w:leftChars="670" w:left="1700"/>
        <w:rPr>
          <w:i/>
          <w:iCs/>
          <w:lang w:val="en-US"/>
        </w:rPr>
      </w:pPr>
      <w:r w:rsidRPr="001C19E7">
        <w:rPr>
          <w:i/>
          <w:iCs/>
          <w:lang w:val="en-US"/>
        </w:rPr>
        <w:t>Malicious Nation State activities that are used to achieve national intelligence objectives.</w:t>
      </w:r>
    </w:p>
    <w:p w14:paraId="716CA368" w14:textId="77777777" w:rsidR="009963C6" w:rsidRPr="001C19E7" w:rsidRDefault="009963C6" w:rsidP="0050739D">
      <w:pPr>
        <w:pStyle w:val="Listeafsnit"/>
        <w:numPr>
          <w:ilvl w:val="0"/>
          <w:numId w:val="41"/>
        </w:numPr>
        <w:ind w:leftChars="670" w:left="1700"/>
        <w:rPr>
          <w:i/>
          <w:iCs/>
          <w:lang w:val="en-US"/>
        </w:rPr>
      </w:pPr>
      <w:r w:rsidRPr="001C19E7">
        <w:rPr>
          <w:i/>
          <w:iCs/>
          <w:lang w:val="en-US"/>
        </w:rPr>
        <w:t xml:space="preserve">Malicious Nation State activities that use commodity malware and tactics in destructive, unrecoverable attacks, or are used to mask the identity of the attacker (false flag) and provide plausible deniability. </w:t>
      </w:r>
    </w:p>
    <w:p w14:paraId="6FC5B561" w14:textId="77777777" w:rsidR="009963C6" w:rsidRPr="001C19E7" w:rsidRDefault="009963C6" w:rsidP="0050739D">
      <w:pPr>
        <w:pStyle w:val="Listeafsnit"/>
        <w:numPr>
          <w:ilvl w:val="0"/>
          <w:numId w:val="41"/>
        </w:numPr>
        <w:ind w:leftChars="670" w:left="1700"/>
        <w:rPr>
          <w:i/>
          <w:iCs/>
          <w:lang w:val="en-US"/>
        </w:rPr>
      </w:pPr>
      <w:r w:rsidRPr="001C19E7">
        <w:rPr>
          <w:i/>
          <w:iCs/>
          <w:lang w:val="en-US"/>
        </w:rPr>
        <w:lastRenderedPageBreak/>
        <w:t>Malicious criminal activities that are used in illicit financial extortion schemes (for example, ransomware attacks against civilian critical resources or infrastructure).”</w:t>
      </w:r>
    </w:p>
    <w:p w14:paraId="0ECC39F6" w14:textId="77777777" w:rsidR="009963C6" w:rsidRPr="001C19E7" w:rsidRDefault="009963C6" w:rsidP="0050739D">
      <w:pPr>
        <w:ind w:leftChars="670" w:left="1340"/>
        <w:rPr>
          <w:lang w:val="en-US"/>
        </w:rPr>
      </w:pPr>
    </w:p>
    <w:p w14:paraId="4BD83F40" w14:textId="77777777" w:rsidR="009963C6" w:rsidRPr="00DC4F35" w:rsidRDefault="009963C6" w:rsidP="009963C6">
      <w:pPr>
        <w:pStyle w:val="Overskrift4"/>
      </w:pPr>
      <w:bookmarkStart w:id="46" w:name="_Ref160808586"/>
      <w:bookmarkStart w:id="47" w:name="_Toc162873924"/>
      <w:r w:rsidRPr="00DC4F35">
        <w:t>Overførsel med henblik på “</w:t>
      </w:r>
      <w:proofErr w:type="spellStart"/>
      <w:r w:rsidRPr="00DC4F35">
        <w:t>Fulfilling</w:t>
      </w:r>
      <w:proofErr w:type="spellEnd"/>
      <w:r w:rsidRPr="00DC4F35">
        <w:t xml:space="preserve"> </w:t>
      </w:r>
      <w:proofErr w:type="gramStart"/>
      <w:r w:rsidRPr="00DC4F35">
        <w:t>GDPR data</w:t>
      </w:r>
      <w:proofErr w:type="gramEnd"/>
      <w:r w:rsidRPr="00DC4F35">
        <w:t xml:space="preserve"> </w:t>
      </w:r>
      <w:proofErr w:type="spellStart"/>
      <w:r w:rsidRPr="00DC4F35">
        <w:t>subject</w:t>
      </w:r>
      <w:proofErr w:type="spellEnd"/>
      <w:r w:rsidRPr="00DC4F35">
        <w:t xml:space="preserve"> </w:t>
      </w:r>
      <w:proofErr w:type="spellStart"/>
      <w:r w:rsidRPr="00DC4F35">
        <w:t>rights</w:t>
      </w:r>
      <w:proofErr w:type="spellEnd"/>
      <w:r w:rsidRPr="00DC4F35">
        <w:t xml:space="preserve"> </w:t>
      </w:r>
      <w:proofErr w:type="spellStart"/>
      <w:r w:rsidRPr="00DC4F35">
        <w:t>requests</w:t>
      </w:r>
      <w:proofErr w:type="spellEnd"/>
      <w:r w:rsidRPr="00DC4F35">
        <w:t xml:space="preserve"> </w:t>
      </w:r>
      <w:proofErr w:type="spellStart"/>
      <w:r w:rsidRPr="00DC4F35">
        <w:t>worldwide</w:t>
      </w:r>
      <w:proofErr w:type="spellEnd"/>
      <w:r w:rsidRPr="00DC4F35">
        <w:t>”</w:t>
      </w:r>
      <w:bookmarkEnd w:id="46"/>
      <w:bookmarkEnd w:id="47"/>
    </w:p>
    <w:p w14:paraId="56C3C6F9" w14:textId="00B1B881" w:rsidR="009963C6" w:rsidRPr="00DC4F35" w:rsidRDefault="009963C6" w:rsidP="009963C6">
      <w:r w:rsidRPr="00DC4F35">
        <w:t>Microsoft</w:t>
      </w:r>
      <w:r w:rsidR="00CF1D69" w:rsidRPr="00DC4F35">
        <w:t xml:space="preserve"> Ireland</w:t>
      </w:r>
      <w:r w:rsidRPr="00DC4F35">
        <w:t xml:space="preserve"> har implementeret funktionalitet, som skal understøtte kunders besvarelse af registreredes anmodninger i henhold til databeskyttelsesforordningen. Ved besvarelse af sådanne anmodninger kan det ifølge Microsoft</w:t>
      </w:r>
      <w:r w:rsidR="0050018C" w:rsidRPr="00DC4F35">
        <w:t xml:space="preserve"> Ireland</w:t>
      </w:r>
      <w:r w:rsidRPr="00DC4F35">
        <w:t xml:space="preserve"> være nødvendigt at behandle ”data </w:t>
      </w:r>
      <w:proofErr w:type="spellStart"/>
      <w:r w:rsidRPr="00DC4F35">
        <w:t>subject</w:t>
      </w:r>
      <w:proofErr w:type="spellEnd"/>
      <w:r w:rsidRPr="00DC4F35">
        <w:t xml:space="preserve"> </w:t>
      </w:r>
      <w:proofErr w:type="spellStart"/>
      <w:r w:rsidRPr="00DC4F35">
        <w:t>rights</w:t>
      </w:r>
      <w:proofErr w:type="spellEnd"/>
      <w:r w:rsidRPr="00DC4F35">
        <w:t xml:space="preserve"> signals”, herunder ”user </w:t>
      </w:r>
      <w:proofErr w:type="spellStart"/>
      <w:r w:rsidRPr="00DC4F35">
        <w:t>identifiers</w:t>
      </w:r>
      <w:proofErr w:type="spellEnd"/>
      <w:r w:rsidRPr="00DC4F35">
        <w:t xml:space="preserve">”, globalt. Microsoft </w:t>
      </w:r>
      <w:r w:rsidR="0050018C" w:rsidRPr="00DC4F35">
        <w:t xml:space="preserve">Ireland </w:t>
      </w:r>
      <w:r w:rsidRPr="00DC4F35">
        <w:t xml:space="preserve">skriver i EU Data </w:t>
      </w:r>
      <w:proofErr w:type="spellStart"/>
      <w:r w:rsidRPr="00DC4F35">
        <w:t>Boundary</w:t>
      </w:r>
      <w:proofErr w:type="spellEnd"/>
      <w:r w:rsidRPr="00DC4F35">
        <w:t xml:space="preserve"> dokumentationen</w:t>
      </w:r>
      <w:r w:rsidR="0050018C" w:rsidRPr="00DC4F35">
        <w:t xml:space="preserve"> herom følgende</w:t>
      </w:r>
      <w:r w:rsidRPr="00DC4F35">
        <w:t xml:space="preserve">:  </w:t>
      </w:r>
    </w:p>
    <w:p w14:paraId="2FB53392" w14:textId="77777777" w:rsidR="009963C6" w:rsidRPr="00DC4F35" w:rsidRDefault="009963C6" w:rsidP="009963C6"/>
    <w:p w14:paraId="55883E35" w14:textId="77777777" w:rsidR="009963C6" w:rsidRPr="00DC4F35" w:rsidRDefault="009963C6" w:rsidP="0050739D">
      <w:pPr>
        <w:ind w:left="1276"/>
      </w:pPr>
      <w:r w:rsidRPr="001C19E7">
        <w:rPr>
          <w:i/>
          <w:iCs/>
          <w:lang w:val="en-US"/>
        </w:rPr>
        <w:t xml:space="preserve">“Microsoft has implemented systems to enable our customers to respond to data subject rights requests (DSRs) under the General Data Protection Regulation (GDPR) (for example, to delete personal data in response to a request under Article 17 of the GDPR) as customers determine is appropriate, and these systems are available to customers worldwide. To enable our customers to maintain GDPR compliance, DSR signals that include user identifiers must be processed globally to ensure that all data related to a data subject is deleted or exported as requested. When our customer determines data deletion is appropriate in response to a data subject requesting that their personal data be deleted, all personal data related to that data subject must be located and deleted from all of Microsoft's data stores, both within and outside of the EU Data Boundary. Similarly, when an export request is submitted by a customer administrator, Microsoft must export to the storage location specified by the customer admin, even if outside the EU Data Boundary, all the personal data about that data subject. </w:t>
      </w:r>
      <w:r w:rsidRPr="00DC4F35">
        <w:rPr>
          <w:i/>
          <w:iCs/>
        </w:rPr>
        <w:t xml:space="preserve">(…)”. </w:t>
      </w:r>
    </w:p>
    <w:p w14:paraId="66C74CBF" w14:textId="77777777" w:rsidR="009963C6" w:rsidRPr="00DC4F35" w:rsidRDefault="009963C6" w:rsidP="009963C6"/>
    <w:p w14:paraId="06D81EE5" w14:textId="2EF455F0" w:rsidR="009963C6" w:rsidRPr="00DC4F35" w:rsidRDefault="009963C6" w:rsidP="009963C6">
      <w:pPr>
        <w:pStyle w:val="Overskrift4"/>
      </w:pPr>
      <w:bookmarkStart w:id="48" w:name="_Ref161856925"/>
      <w:bookmarkStart w:id="49" w:name="_Toc162873925"/>
      <w:r w:rsidRPr="00DC4F35">
        <w:t>Overførsel med henblik på adgangsstyring/login i tjenester (Directory Data)</w:t>
      </w:r>
      <w:bookmarkEnd w:id="48"/>
      <w:bookmarkEnd w:id="49"/>
    </w:p>
    <w:p w14:paraId="2C25F310" w14:textId="2FE9948B" w:rsidR="009963C6" w:rsidRPr="00DC4F35" w:rsidRDefault="009963C6" w:rsidP="009963C6">
      <w:r w:rsidRPr="00DC4F35">
        <w:t xml:space="preserve">Om data til brug for login via adgangsstyringstjenesten, Microsoft Entra ID, følger det af EU Data </w:t>
      </w:r>
      <w:proofErr w:type="spellStart"/>
      <w:r w:rsidRPr="00DC4F35">
        <w:t>Boundary</w:t>
      </w:r>
      <w:proofErr w:type="spellEnd"/>
      <w:r w:rsidRPr="00DC4F35">
        <w:t xml:space="preserve"> dokumentationen: </w:t>
      </w:r>
    </w:p>
    <w:p w14:paraId="46EA654F" w14:textId="77777777" w:rsidR="009963C6" w:rsidRPr="00DC4F35" w:rsidRDefault="009963C6" w:rsidP="009963C6"/>
    <w:p w14:paraId="293D5FE4" w14:textId="77777777" w:rsidR="009963C6" w:rsidRPr="001C19E7" w:rsidRDefault="009963C6" w:rsidP="0050739D">
      <w:pPr>
        <w:ind w:left="1276"/>
        <w:rPr>
          <w:i/>
          <w:iCs/>
          <w:lang w:val="en-US"/>
        </w:rPr>
      </w:pPr>
      <w:r w:rsidRPr="001C19E7">
        <w:rPr>
          <w:i/>
          <w:iCs/>
          <w:lang w:val="en-US"/>
        </w:rPr>
        <w:t xml:space="preserve">“Microsoft may replicate limited Microsoft </w:t>
      </w:r>
      <w:proofErr w:type="spellStart"/>
      <w:r w:rsidRPr="001C19E7">
        <w:rPr>
          <w:i/>
          <w:iCs/>
          <w:lang w:val="en-US"/>
        </w:rPr>
        <w:t>Entra</w:t>
      </w:r>
      <w:proofErr w:type="spellEnd"/>
      <w:r w:rsidRPr="001C19E7">
        <w:rPr>
          <w:i/>
          <w:iCs/>
          <w:lang w:val="en-US"/>
        </w:rPr>
        <w:t xml:space="preserve"> directory data from Microsoft </w:t>
      </w:r>
      <w:proofErr w:type="spellStart"/>
      <w:r w:rsidRPr="001C19E7">
        <w:rPr>
          <w:i/>
          <w:iCs/>
          <w:lang w:val="en-US"/>
        </w:rPr>
        <w:t>Entra</w:t>
      </w:r>
      <w:proofErr w:type="spellEnd"/>
      <w:r w:rsidRPr="001C19E7">
        <w:rPr>
          <w:i/>
          <w:iCs/>
          <w:lang w:val="en-US"/>
        </w:rPr>
        <w:t xml:space="preserve"> (including username and email address) outside the EU Data Boundary to provide the service.”</w:t>
      </w:r>
    </w:p>
    <w:p w14:paraId="32947FA7" w14:textId="77777777" w:rsidR="009963C6" w:rsidRPr="001C19E7" w:rsidRDefault="009963C6" w:rsidP="009963C6">
      <w:pPr>
        <w:rPr>
          <w:i/>
          <w:iCs/>
          <w:lang w:val="en-US"/>
        </w:rPr>
      </w:pPr>
    </w:p>
    <w:p w14:paraId="05F1EAA2" w14:textId="77777777" w:rsidR="009963C6" w:rsidRPr="00DC4F35" w:rsidRDefault="009963C6" w:rsidP="009963C6">
      <w:r w:rsidRPr="00DC4F35">
        <w:t xml:space="preserve">Microsoft Entra ID er en ”non-regional” service, hvilket bevirker, at visse dele af Customer Data behandles globalt. </w:t>
      </w:r>
    </w:p>
    <w:p w14:paraId="2CC30ED6" w14:textId="77777777" w:rsidR="009963C6" w:rsidRPr="00DC4F35" w:rsidRDefault="009963C6" w:rsidP="009963C6"/>
    <w:p w14:paraId="521CF43E" w14:textId="4F8BD97A" w:rsidR="009963C6" w:rsidRPr="00DC4F35" w:rsidRDefault="009963C6" w:rsidP="009963C6">
      <w:r w:rsidRPr="00DC4F35">
        <w:t xml:space="preserve">For så vidt angår det i denne konsekvensanalyse påtænkte </w:t>
      </w:r>
      <w:proofErr w:type="spellStart"/>
      <w:r w:rsidRPr="00DC4F35">
        <w:t>setup</w:t>
      </w:r>
      <w:proofErr w:type="spellEnd"/>
      <w:r w:rsidRPr="00DC4F35">
        <w:t xml:space="preserve"> vil brug af Microsoft Entra medføre en række forskellige behandlinger uden for EU Data </w:t>
      </w:r>
      <w:proofErr w:type="spellStart"/>
      <w:r w:rsidRPr="00DC4F35">
        <w:t>Boundary</w:t>
      </w:r>
      <w:proofErr w:type="spellEnd"/>
      <w:r w:rsidRPr="00DC4F35">
        <w:t xml:space="preserve">. Der er tale om: </w:t>
      </w:r>
    </w:p>
    <w:p w14:paraId="3BD2D9D2" w14:textId="77777777" w:rsidR="009963C6" w:rsidRPr="00DC4F35" w:rsidRDefault="009963C6" w:rsidP="009963C6"/>
    <w:p w14:paraId="22FB2B53" w14:textId="43230B51" w:rsidR="009963C6" w:rsidRPr="00DC4F35" w:rsidRDefault="009963C6" w:rsidP="00870C5F">
      <w:pPr>
        <w:pStyle w:val="Listeafsnit"/>
        <w:numPr>
          <w:ilvl w:val="0"/>
          <w:numId w:val="42"/>
        </w:numPr>
      </w:pPr>
      <w:r w:rsidRPr="00DC4F35">
        <w:lastRenderedPageBreak/>
        <w:t>Behandling af ”</w:t>
      </w:r>
      <w:proofErr w:type="spellStart"/>
      <w:r w:rsidRPr="00DC4F35">
        <w:rPr>
          <w:i/>
          <w:iCs/>
        </w:rPr>
        <w:t>sign-in</w:t>
      </w:r>
      <w:proofErr w:type="spellEnd"/>
      <w:r w:rsidRPr="00DC4F35">
        <w:rPr>
          <w:i/>
          <w:iCs/>
        </w:rPr>
        <w:t xml:space="preserve"> logs by on-</w:t>
      </w:r>
      <w:proofErr w:type="spellStart"/>
      <w:r w:rsidRPr="00DC4F35">
        <w:rPr>
          <w:i/>
          <w:iCs/>
        </w:rPr>
        <w:t>call</w:t>
      </w:r>
      <w:proofErr w:type="spellEnd"/>
      <w:r w:rsidRPr="00DC4F35">
        <w:rPr>
          <w:i/>
          <w:iCs/>
        </w:rPr>
        <w:t xml:space="preserve"> </w:t>
      </w:r>
      <w:proofErr w:type="spellStart"/>
      <w:r w:rsidRPr="00DC4F35">
        <w:rPr>
          <w:i/>
          <w:iCs/>
        </w:rPr>
        <w:t>engineers</w:t>
      </w:r>
      <w:proofErr w:type="spellEnd"/>
      <w:r w:rsidRPr="00DC4F35">
        <w:t xml:space="preserve">” med henblik på at undersøge hændelser, der påvirker servicen/medfører problemer for kunden. </w:t>
      </w:r>
    </w:p>
    <w:p w14:paraId="18B9E76C" w14:textId="77777777" w:rsidR="009963C6" w:rsidRPr="001C19E7" w:rsidRDefault="009963C6" w:rsidP="00870C5F">
      <w:pPr>
        <w:pStyle w:val="Listeafsnit"/>
        <w:numPr>
          <w:ilvl w:val="0"/>
          <w:numId w:val="42"/>
        </w:numPr>
        <w:rPr>
          <w:lang w:val="en-US"/>
        </w:rPr>
      </w:pPr>
      <w:proofErr w:type="spellStart"/>
      <w:r w:rsidRPr="001C19E7">
        <w:rPr>
          <w:lang w:val="en-US"/>
        </w:rPr>
        <w:t>Behandling</w:t>
      </w:r>
      <w:proofErr w:type="spellEnd"/>
      <w:r w:rsidRPr="001C19E7">
        <w:rPr>
          <w:lang w:val="en-US"/>
        </w:rPr>
        <w:t xml:space="preserve"> </w:t>
      </w:r>
      <w:proofErr w:type="spellStart"/>
      <w:proofErr w:type="gramStart"/>
      <w:r w:rsidRPr="001C19E7">
        <w:rPr>
          <w:lang w:val="en-US"/>
        </w:rPr>
        <w:t>af</w:t>
      </w:r>
      <w:proofErr w:type="spellEnd"/>
      <w:r w:rsidRPr="001C19E7">
        <w:rPr>
          <w:lang w:val="en-US"/>
        </w:rPr>
        <w:t xml:space="preserve"> ”</w:t>
      </w:r>
      <w:r w:rsidRPr="001C19E7">
        <w:rPr>
          <w:i/>
          <w:iCs/>
          <w:lang w:val="en-US"/>
        </w:rPr>
        <w:t>Self</w:t>
      </w:r>
      <w:proofErr w:type="gramEnd"/>
      <w:r w:rsidRPr="001C19E7">
        <w:rPr>
          <w:i/>
          <w:iCs/>
          <w:lang w:val="en-US"/>
        </w:rPr>
        <w:t xml:space="preserve"> Service password reset</w:t>
      </w:r>
      <w:r w:rsidRPr="001C19E7">
        <w:rPr>
          <w:lang w:val="en-US"/>
        </w:rPr>
        <w:t xml:space="preserve">” </w:t>
      </w:r>
      <w:proofErr w:type="spellStart"/>
      <w:r w:rsidRPr="001C19E7">
        <w:rPr>
          <w:lang w:val="en-US"/>
        </w:rPr>
        <w:t>af</w:t>
      </w:r>
      <w:proofErr w:type="spellEnd"/>
      <w:r w:rsidRPr="001C19E7">
        <w:rPr>
          <w:lang w:val="en-US"/>
        </w:rPr>
        <w:t xml:space="preserve"> ”</w:t>
      </w:r>
      <w:r w:rsidRPr="001C19E7">
        <w:rPr>
          <w:i/>
          <w:iCs/>
          <w:lang w:val="en-US"/>
        </w:rPr>
        <w:t>on-call engineer for incident investigations to fix customer issues and determine the pervasiveness and severity of a service-impacting event</w:t>
      </w:r>
      <w:r w:rsidRPr="001C19E7">
        <w:rPr>
          <w:lang w:val="en-US"/>
        </w:rPr>
        <w:t>”.</w:t>
      </w:r>
    </w:p>
    <w:p w14:paraId="2EEFCCAA" w14:textId="77777777" w:rsidR="009963C6" w:rsidRPr="003900CE" w:rsidRDefault="009963C6" w:rsidP="00870C5F">
      <w:pPr>
        <w:pStyle w:val="Listeafsnit"/>
        <w:numPr>
          <w:ilvl w:val="0"/>
          <w:numId w:val="42"/>
        </w:numPr>
        <w:rPr>
          <w:lang w:val="en-US"/>
        </w:rPr>
      </w:pPr>
      <w:proofErr w:type="spellStart"/>
      <w:r w:rsidRPr="003900CE">
        <w:rPr>
          <w:lang w:val="en-US"/>
        </w:rPr>
        <w:t>Blokering</w:t>
      </w:r>
      <w:proofErr w:type="spellEnd"/>
      <w:r w:rsidRPr="003900CE">
        <w:rPr>
          <w:lang w:val="en-US"/>
        </w:rPr>
        <w:t xml:space="preserve"> </w:t>
      </w:r>
      <w:proofErr w:type="spellStart"/>
      <w:r w:rsidRPr="003900CE">
        <w:rPr>
          <w:lang w:val="en-US"/>
        </w:rPr>
        <w:t>af</w:t>
      </w:r>
      <w:proofErr w:type="spellEnd"/>
      <w:r w:rsidRPr="003900CE">
        <w:rPr>
          <w:lang w:val="en-US"/>
        </w:rPr>
        <w:t xml:space="preserve"> </w:t>
      </w:r>
      <w:proofErr w:type="spellStart"/>
      <w:r w:rsidRPr="003900CE">
        <w:rPr>
          <w:lang w:val="en-US"/>
        </w:rPr>
        <w:t>brugerkonti</w:t>
      </w:r>
      <w:proofErr w:type="spellEnd"/>
      <w:r w:rsidRPr="003900CE">
        <w:rPr>
          <w:lang w:val="en-US"/>
        </w:rPr>
        <w:t xml:space="preserve">: </w:t>
      </w:r>
      <w:r w:rsidRPr="003900CE">
        <w:rPr>
          <w:i/>
          <w:iCs/>
          <w:lang w:val="en-US"/>
        </w:rPr>
        <w:t xml:space="preserve">“when an IP address or phone number is determined to be used </w:t>
      </w:r>
      <w:proofErr w:type="spellStart"/>
      <w:r w:rsidRPr="003900CE">
        <w:rPr>
          <w:i/>
          <w:iCs/>
          <w:lang w:val="en-US"/>
        </w:rPr>
        <w:t>infraudulent</w:t>
      </w:r>
      <w:proofErr w:type="spellEnd"/>
      <w:r w:rsidRPr="003900CE">
        <w:rPr>
          <w:i/>
          <w:iCs/>
          <w:lang w:val="en-US"/>
        </w:rPr>
        <w:t xml:space="preserve"> activities, it’s published globally to block access from any workloads using it”</w:t>
      </w:r>
      <w:r w:rsidRPr="003900CE">
        <w:rPr>
          <w:lang w:val="en-US"/>
        </w:rPr>
        <w:t xml:space="preserve">. </w:t>
      </w:r>
    </w:p>
    <w:p w14:paraId="408B529A" w14:textId="77777777" w:rsidR="009963C6" w:rsidRPr="001C19E7" w:rsidRDefault="009963C6" w:rsidP="00870C5F">
      <w:pPr>
        <w:pStyle w:val="Listeafsnit"/>
        <w:numPr>
          <w:ilvl w:val="0"/>
          <w:numId w:val="42"/>
        </w:numPr>
        <w:rPr>
          <w:lang w:val="en-US"/>
        </w:rPr>
      </w:pPr>
      <w:proofErr w:type="spellStart"/>
      <w:r w:rsidRPr="001C19E7">
        <w:rPr>
          <w:lang w:val="en-US"/>
        </w:rPr>
        <w:t>Opdagelse</w:t>
      </w:r>
      <w:proofErr w:type="spellEnd"/>
      <w:r w:rsidRPr="001C19E7">
        <w:rPr>
          <w:lang w:val="en-US"/>
        </w:rPr>
        <w:t xml:space="preserve"> </w:t>
      </w:r>
      <w:proofErr w:type="spellStart"/>
      <w:r w:rsidRPr="001C19E7">
        <w:rPr>
          <w:lang w:val="en-US"/>
        </w:rPr>
        <w:t>af</w:t>
      </w:r>
      <w:proofErr w:type="spellEnd"/>
      <w:r w:rsidRPr="001C19E7">
        <w:rPr>
          <w:lang w:val="en-US"/>
        </w:rPr>
        <w:t xml:space="preserve"> </w:t>
      </w:r>
      <w:proofErr w:type="spellStart"/>
      <w:r w:rsidRPr="001C19E7">
        <w:rPr>
          <w:lang w:val="en-US"/>
        </w:rPr>
        <w:t>kompromitterede</w:t>
      </w:r>
      <w:proofErr w:type="spellEnd"/>
      <w:r w:rsidRPr="001C19E7">
        <w:rPr>
          <w:lang w:val="en-US"/>
        </w:rPr>
        <w:t xml:space="preserve"> </w:t>
      </w:r>
      <w:proofErr w:type="spellStart"/>
      <w:r w:rsidRPr="001C19E7">
        <w:rPr>
          <w:lang w:val="en-US"/>
        </w:rPr>
        <w:t>brugere</w:t>
      </w:r>
      <w:proofErr w:type="spellEnd"/>
      <w:r w:rsidRPr="001C19E7">
        <w:rPr>
          <w:lang w:val="en-US"/>
        </w:rPr>
        <w:t>: “</w:t>
      </w:r>
      <w:r w:rsidRPr="001C19E7">
        <w:rPr>
          <w:i/>
          <w:iCs/>
          <w:lang w:val="en-US"/>
        </w:rPr>
        <w:t xml:space="preserve">Microsoft helps detect identity compromise by tracking suspicious account logins from multiple geo regions within a brief period. This is known as impossible travel attacks. To enable this type of protection, Microsoft security services centrally process global Microsoft </w:t>
      </w:r>
      <w:proofErr w:type="spellStart"/>
      <w:r w:rsidRPr="001C19E7">
        <w:rPr>
          <w:i/>
          <w:iCs/>
          <w:lang w:val="en-US"/>
        </w:rPr>
        <w:t>Entra</w:t>
      </w:r>
      <w:proofErr w:type="spellEnd"/>
      <w:r w:rsidRPr="001C19E7">
        <w:rPr>
          <w:i/>
          <w:iCs/>
          <w:lang w:val="en-US"/>
        </w:rPr>
        <w:t xml:space="preserve"> authentication logs</w:t>
      </w:r>
      <w:r w:rsidRPr="001C19E7">
        <w:rPr>
          <w:lang w:val="en-US"/>
        </w:rPr>
        <w:t>”.</w:t>
      </w:r>
    </w:p>
    <w:p w14:paraId="00680D52" w14:textId="77777777" w:rsidR="009963C6" w:rsidRPr="001C19E7" w:rsidRDefault="009963C6" w:rsidP="009963C6">
      <w:pPr>
        <w:rPr>
          <w:lang w:val="en-US"/>
        </w:rPr>
      </w:pPr>
    </w:p>
    <w:p w14:paraId="32D3B31E" w14:textId="77777777" w:rsidR="009963C6" w:rsidRPr="00DC4F35" w:rsidRDefault="009963C6" w:rsidP="009963C6">
      <w:pPr>
        <w:pStyle w:val="Overskrift4"/>
      </w:pPr>
      <w:bookmarkStart w:id="50" w:name="_Ref160807950"/>
      <w:bookmarkStart w:id="51" w:name="_Toc162873927"/>
      <w:r w:rsidRPr="00DC4F35">
        <w:t xml:space="preserve">Overførsel med henblik på ”Service and Platform </w:t>
      </w:r>
      <w:proofErr w:type="spellStart"/>
      <w:r w:rsidRPr="00DC4F35">
        <w:t>Quality</w:t>
      </w:r>
      <w:proofErr w:type="spellEnd"/>
      <w:r w:rsidRPr="00DC4F35">
        <w:t xml:space="preserve"> and Management”</w:t>
      </w:r>
      <w:bookmarkEnd w:id="50"/>
      <w:bookmarkEnd w:id="51"/>
    </w:p>
    <w:p w14:paraId="1C63A9A9" w14:textId="778845C4" w:rsidR="009963C6" w:rsidRPr="00C83C91" w:rsidRDefault="009963C6" w:rsidP="009963C6">
      <w:pPr>
        <w:rPr>
          <w:lang w:val="en-US"/>
        </w:rPr>
      </w:pPr>
      <w:r w:rsidRPr="00DC4F35">
        <w:t xml:space="preserve">Microsoft </w:t>
      </w:r>
      <w:r w:rsidR="004736AD" w:rsidRPr="00DC4F35">
        <w:t xml:space="preserve">Ireland </w:t>
      </w:r>
      <w:r w:rsidRPr="00DC4F35">
        <w:t xml:space="preserve">skriver i EU Data </w:t>
      </w:r>
      <w:proofErr w:type="spellStart"/>
      <w:r w:rsidRPr="00DC4F35">
        <w:t>Boundary</w:t>
      </w:r>
      <w:proofErr w:type="spellEnd"/>
      <w:r w:rsidRPr="00DC4F35">
        <w:t xml:space="preserve"> dokumentationen, at Microsoft</w:t>
      </w:r>
      <w:r w:rsidR="004736AD" w:rsidRPr="00DC4F35">
        <w:t xml:space="preserve"> Ireland</w:t>
      </w:r>
      <w:r w:rsidRPr="00DC4F35">
        <w:t xml:space="preserve"> anvender visse </w:t>
      </w:r>
      <w:proofErr w:type="spellStart"/>
      <w:r w:rsidRPr="00DC4F35">
        <w:t>pseudonymiserede</w:t>
      </w:r>
      <w:proofErr w:type="spellEnd"/>
      <w:r w:rsidRPr="00DC4F35">
        <w:t xml:space="preserve"> persondata fra System </w:t>
      </w:r>
      <w:proofErr w:type="spellStart"/>
      <w:r w:rsidRPr="00DC4F35">
        <w:t>Generated</w:t>
      </w:r>
      <w:proofErr w:type="spellEnd"/>
      <w:r w:rsidRPr="00DC4F35">
        <w:t xml:space="preserve"> Logs for at sikre, at cloudtjenesterne kører effektivt, og for at beregne og overvåge realtids globale kvalitetsmålinger for tjenesterne. </w:t>
      </w:r>
      <w:proofErr w:type="spellStart"/>
      <w:r w:rsidRPr="00C83C91">
        <w:rPr>
          <w:lang w:val="en-US"/>
        </w:rPr>
        <w:t>Af</w:t>
      </w:r>
      <w:proofErr w:type="spellEnd"/>
      <w:r w:rsidRPr="00C83C91">
        <w:rPr>
          <w:lang w:val="en-US"/>
        </w:rPr>
        <w:t xml:space="preserve"> EU Data Boundary </w:t>
      </w:r>
      <w:proofErr w:type="spellStart"/>
      <w:r w:rsidRPr="00C83C91">
        <w:rPr>
          <w:lang w:val="en-US"/>
        </w:rPr>
        <w:t>dokumentationen</w:t>
      </w:r>
      <w:proofErr w:type="spellEnd"/>
      <w:r w:rsidRPr="00C83C91">
        <w:rPr>
          <w:lang w:val="en-US"/>
        </w:rPr>
        <w:t xml:space="preserve"> </w:t>
      </w:r>
      <w:proofErr w:type="spellStart"/>
      <w:r w:rsidRPr="00C83C91">
        <w:rPr>
          <w:lang w:val="en-US"/>
        </w:rPr>
        <w:t>fremgår</w:t>
      </w:r>
      <w:proofErr w:type="spellEnd"/>
      <w:r w:rsidR="004736AD" w:rsidRPr="00C83C91">
        <w:rPr>
          <w:lang w:val="en-US"/>
        </w:rPr>
        <w:t xml:space="preserve"> </w:t>
      </w:r>
      <w:proofErr w:type="spellStart"/>
      <w:r w:rsidR="004736AD" w:rsidRPr="00C83C91">
        <w:rPr>
          <w:lang w:val="en-US"/>
        </w:rPr>
        <w:t>herom</w:t>
      </w:r>
      <w:proofErr w:type="spellEnd"/>
      <w:r w:rsidR="004736AD" w:rsidRPr="00C83C91">
        <w:rPr>
          <w:lang w:val="en-US"/>
        </w:rPr>
        <w:t xml:space="preserve"> </w:t>
      </w:r>
      <w:proofErr w:type="spellStart"/>
      <w:r w:rsidR="004736AD" w:rsidRPr="00C83C91">
        <w:rPr>
          <w:lang w:val="en-US"/>
        </w:rPr>
        <w:t>følgende</w:t>
      </w:r>
      <w:proofErr w:type="spellEnd"/>
      <w:r w:rsidRPr="00C83C91">
        <w:rPr>
          <w:lang w:val="en-US"/>
        </w:rPr>
        <w:t xml:space="preserve">: </w:t>
      </w:r>
    </w:p>
    <w:p w14:paraId="36706D98" w14:textId="77777777" w:rsidR="009963C6" w:rsidRPr="00C83C91" w:rsidRDefault="009963C6" w:rsidP="009963C6">
      <w:pPr>
        <w:rPr>
          <w:lang w:val="en-US"/>
        </w:rPr>
      </w:pPr>
    </w:p>
    <w:p w14:paraId="122938B6" w14:textId="77777777" w:rsidR="009963C6" w:rsidRPr="001C19E7" w:rsidRDefault="009963C6" w:rsidP="0050739D">
      <w:pPr>
        <w:ind w:left="1276"/>
        <w:rPr>
          <w:i/>
          <w:iCs/>
          <w:lang w:val="en-US"/>
        </w:rPr>
      </w:pPr>
      <w:r w:rsidRPr="001C19E7">
        <w:rPr>
          <w:i/>
          <w:iCs/>
          <w:lang w:val="en-US"/>
        </w:rPr>
        <w:t xml:space="preserve">“Microsoft personnel may require some pseudonymized personal data from </w:t>
      </w:r>
      <w:proofErr w:type="spellStart"/>
      <w:r w:rsidRPr="001C19E7">
        <w:rPr>
          <w:i/>
          <w:iCs/>
          <w:lang w:val="en-US"/>
        </w:rPr>
        <w:t>systemgenerated</w:t>
      </w:r>
      <w:proofErr w:type="spellEnd"/>
      <w:r w:rsidRPr="001C19E7">
        <w:rPr>
          <w:i/>
          <w:iCs/>
          <w:lang w:val="en-US"/>
        </w:rPr>
        <w:t xml:space="preserve"> logs to be consolidated globally to ensure the services are running efficiently and to compute and monitor real-time, global quality metrics for the services. A limited amount of pseudonymized personal data such as object IDs or primary unique IDs (PUIDs), can be included in these transfers and are used to address various service operability and management issues. Examples include calculating the number of users affected by a service-impacting event to determine its pervasiveness and severity or calculating monthly active users (MAU) and daily active users (DAU) of the services to ensure billing calculations based on this data are complete and accurate.</w:t>
      </w:r>
    </w:p>
    <w:p w14:paraId="52716573" w14:textId="77777777" w:rsidR="009963C6" w:rsidRPr="001C19E7" w:rsidRDefault="009963C6" w:rsidP="0050739D">
      <w:pPr>
        <w:ind w:left="1276"/>
        <w:rPr>
          <w:i/>
          <w:iCs/>
          <w:lang w:val="en-US"/>
        </w:rPr>
      </w:pPr>
    </w:p>
    <w:p w14:paraId="634DC39E" w14:textId="77777777" w:rsidR="009963C6" w:rsidRPr="001C19E7" w:rsidRDefault="009963C6" w:rsidP="0050739D">
      <w:pPr>
        <w:ind w:left="1276"/>
        <w:rPr>
          <w:i/>
          <w:iCs/>
          <w:lang w:val="en-US"/>
        </w:rPr>
      </w:pPr>
      <w:r w:rsidRPr="001C19E7">
        <w:rPr>
          <w:i/>
          <w:iCs/>
          <w:lang w:val="en-US"/>
        </w:rPr>
        <w:t>Pseudonymized personal data transferred for MAU and DAU calculation purposes is retained outside the EU Data Boundary for only as long as needed to compile aggregate analytics.”</w:t>
      </w:r>
    </w:p>
    <w:p w14:paraId="3956723E" w14:textId="77777777" w:rsidR="009963C6" w:rsidRPr="001C19E7" w:rsidRDefault="009963C6" w:rsidP="009963C6">
      <w:pPr>
        <w:rPr>
          <w:lang w:val="en-US"/>
        </w:rPr>
      </w:pPr>
    </w:p>
    <w:p w14:paraId="1571BADC" w14:textId="031355CC" w:rsidR="00BE72D3" w:rsidRPr="00DC4F35" w:rsidRDefault="00BE72D3" w:rsidP="009963C6">
      <w:pPr>
        <w:pStyle w:val="Overskrift4"/>
      </w:pPr>
      <w:bookmarkStart w:id="52" w:name="_Ref165311148"/>
      <w:bookmarkStart w:id="53" w:name="_Ref160808815"/>
      <w:bookmarkStart w:id="54" w:name="_Toc162873928"/>
      <w:r w:rsidRPr="00DC4F35">
        <w:t>Overførsler med henblik på supportydelser (Professional Services)</w:t>
      </w:r>
      <w:bookmarkEnd w:id="52"/>
    </w:p>
    <w:p w14:paraId="7F059150" w14:textId="54E4C36D" w:rsidR="00BE72D3" w:rsidRPr="00DC4F35" w:rsidRDefault="00BA1FA3" w:rsidP="00BE72D3">
      <w:r w:rsidRPr="00DC4F35">
        <w:t>Da personoplysninger i forbindelse hermed endnu ikke kan holdes inden</w:t>
      </w:r>
      <w:r w:rsidR="00A32D6B" w:rsidRPr="00DC4F35">
        <w:t xml:space="preserve"> </w:t>
      </w:r>
      <w:r w:rsidRPr="00DC4F35">
        <w:t xml:space="preserve">for EU Data </w:t>
      </w:r>
      <w:proofErr w:type="spellStart"/>
      <w:r w:rsidRPr="00DC4F35">
        <w:t>Boundary</w:t>
      </w:r>
      <w:proofErr w:type="spellEnd"/>
      <w:r w:rsidRPr="00DC4F35">
        <w:t>, sker der en overførsel af personoplysninger i forbindelse hermed, da der ellers ikke kan ydes support. Der arbejdes dog efter det af Microsoft</w:t>
      </w:r>
      <w:r w:rsidR="00C02E78" w:rsidRPr="00DC4F35">
        <w:t xml:space="preserve"> Ireland</w:t>
      </w:r>
      <w:r w:rsidRPr="00DC4F35">
        <w:t xml:space="preserve"> oplyste på en løsning, hvorefter disse personoplysninger fremadrettet også kan holdes inden</w:t>
      </w:r>
      <w:r w:rsidR="00A32D6B" w:rsidRPr="00DC4F35">
        <w:t xml:space="preserve"> </w:t>
      </w:r>
      <w:r w:rsidRPr="00DC4F35">
        <w:t xml:space="preserve">for EU Data </w:t>
      </w:r>
      <w:proofErr w:type="spellStart"/>
      <w:r w:rsidRPr="00DC4F35">
        <w:t>Boundary</w:t>
      </w:r>
      <w:proofErr w:type="spellEnd"/>
      <w:r w:rsidRPr="00DC4F35">
        <w:t>:</w:t>
      </w:r>
    </w:p>
    <w:p w14:paraId="131B4C01" w14:textId="77777777" w:rsidR="00BA1FA3" w:rsidRPr="00DC4F35" w:rsidRDefault="00BA1FA3" w:rsidP="0050739D">
      <w:pPr>
        <w:tabs>
          <w:tab w:val="left" w:pos="1276"/>
        </w:tabs>
      </w:pPr>
    </w:p>
    <w:p w14:paraId="3359221D" w14:textId="4BAF023D" w:rsidR="00BA1FA3" w:rsidRPr="001C19E7" w:rsidRDefault="00BA1FA3" w:rsidP="0050739D">
      <w:pPr>
        <w:ind w:left="1276"/>
        <w:rPr>
          <w:i/>
          <w:iCs/>
          <w:lang w:val="en-US"/>
        </w:rPr>
      </w:pPr>
      <w:r w:rsidRPr="001C19E7">
        <w:rPr>
          <w:i/>
          <w:iCs/>
          <w:lang w:val="en-US"/>
        </w:rPr>
        <w:t>“Professional Services Data provided, obtained, and processed during a paid consulting engagement is accessed by the team the customer engages to provide the purchased services. Work is in progress to allow EU customers to specify that their Professional Services Data should be stored and processed in the EU Data Boundary.”</w:t>
      </w:r>
    </w:p>
    <w:p w14:paraId="7EDA851D" w14:textId="77777777" w:rsidR="00BE72D3" w:rsidRPr="001C19E7" w:rsidRDefault="00BE72D3" w:rsidP="00BE72D3">
      <w:pPr>
        <w:rPr>
          <w:lang w:val="en-US"/>
        </w:rPr>
      </w:pPr>
    </w:p>
    <w:p w14:paraId="01BE81E7" w14:textId="36B9F936" w:rsidR="004D039F" w:rsidRPr="00DC4F35" w:rsidRDefault="004D039F" w:rsidP="00BE72D3">
      <w:r w:rsidRPr="00DC4F35">
        <w:t>Microsoft Ireland har til brug for udarbejdelsen af denne konsekvensanalyse oplyst, at man forventer at kunne tilbyde support fra EU fra i år (2024).</w:t>
      </w:r>
    </w:p>
    <w:p w14:paraId="55CE531A" w14:textId="77777777" w:rsidR="004D039F" w:rsidRPr="00DC4F35" w:rsidRDefault="004D039F" w:rsidP="00BE72D3"/>
    <w:p w14:paraId="4469994D" w14:textId="4B1AC7E3" w:rsidR="009963C6" w:rsidRPr="00DC4F35" w:rsidRDefault="009963C6" w:rsidP="009963C6">
      <w:pPr>
        <w:pStyle w:val="Overskrift4"/>
      </w:pPr>
      <w:bookmarkStart w:id="55" w:name="_Ref165311243"/>
      <w:r w:rsidRPr="00DC4F35">
        <w:t>Overførsler særlige for tjenesten Exchange Online</w:t>
      </w:r>
      <w:bookmarkEnd w:id="53"/>
      <w:bookmarkEnd w:id="54"/>
      <w:bookmarkEnd w:id="55"/>
      <w:r w:rsidRPr="00DC4F35">
        <w:t xml:space="preserve"> </w:t>
      </w:r>
    </w:p>
    <w:p w14:paraId="37A26905" w14:textId="6C37EDA3" w:rsidR="009963C6" w:rsidRPr="00DC4F35" w:rsidRDefault="009963C6" w:rsidP="009963C6">
      <w:r w:rsidRPr="00DC4F35">
        <w:t xml:space="preserve">Ud over ovenstående scenarier, der omfatter cloudtjenesterne i Microsoft 365 i bred forstand, sker der en række overførsler fra enkeltstående tjenester, herunder Exchange Online. I relation til Exchange Online fremgår </w:t>
      </w:r>
      <w:r w:rsidR="000A5290" w:rsidRPr="00DC4F35">
        <w:t>følgende</w:t>
      </w:r>
      <w:r w:rsidRPr="00DC4F35">
        <w:t xml:space="preserve"> af EU Data </w:t>
      </w:r>
      <w:proofErr w:type="spellStart"/>
      <w:r w:rsidRPr="00DC4F35">
        <w:t>Boundary</w:t>
      </w:r>
      <w:proofErr w:type="spellEnd"/>
      <w:r w:rsidRPr="00DC4F35">
        <w:t xml:space="preserve"> dokumentationen: </w:t>
      </w:r>
    </w:p>
    <w:p w14:paraId="6CA3C77F" w14:textId="77777777" w:rsidR="009963C6" w:rsidRPr="00DC4F35" w:rsidRDefault="009963C6" w:rsidP="009963C6"/>
    <w:p w14:paraId="61F415E0" w14:textId="6CA8D7CD" w:rsidR="009963C6" w:rsidRPr="001C19E7" w:rsidRDefault="009963C6" w:rsidP="0050739D">
      <w:pPr>
        <w:ind w:left="1276"/>
        <w:rPr>
          <w:i/>
          <w:iCs/>
          <w:lang w:val="en-US"/>
        </w:rPr>
      </w:pPr>
      <w:r w:rsidRPr="001C19E7">
        <w:rPr>
          <w:i/>
          <w:iCs/>
          <w:lang w:val="en-US"/>
        </w:rPr>
        <w:t xml:space="preserve">“Exchange Online transfers some pseudonymized personal data out of the EU </w:t>
      </w:r>
      <w:proofErr w:type="spellStart"/>
      <w:r w:rsidRPr="001C19E7">
        <w:rPr>
          <w:i/>
          <w:iCs/>
          <w:lang w:val="en-US"/>
        </w:rPr>
        <w:t>DataBoundary</w:t>
      </w:r>
      <w:proofErr w:type="spellEnd"/>
      <w:r w:rsidRPr="001C19E7">
        <w:rPr>
          <w:i/>
          <w:iCs/>
          <w:lang w:val="en-US"/>
        </w:rPr>
        <w:t xml:space="preserve"> for service health monitoring. As part of service operations, when DevOps personnel run queries that combine system-generated data stored inside and outside the EU Data Boundary, transient egress of pseudonymized personal data may occur</w:t>
      </w:r>
      <w:r w:rsidR="00DE77EF" w:rsidRPr="001C19E7">
        <w:rPr>
          <w:i/>
          <w:iCs/>
          <w:lang w:val="en-US"/>
        </w:rPr>
        <w:t xml:space="preserve"> </w:t>
      </w:r>
      <w:r w:rsidRPr="001C19E7">
        <w:rPr>
          <w:i/>
          <w:iCs/>
          <w:lang w:val="en-US"/>
        </w:rPr>
        <w:t>during the duration of the query runtime.”</w:t>
      </w:r>
    </w:p>
    <w:p w14:paraId="6BF82CCE" w14:textId="77777777" w:rsidR="009963C6" w:rsidRPr="001C19E7" w:rsidRDefault="009963C6" w:rsidP="009963C6">
      <w:pPr>
        <w:rPr>
          <w:lang w:val="en-US"/>
        </w:rPr>
      </w:pPr>
    </w:p>
    <w:p w14:paraId="2ADBD366" w14:textId="4F912D01" w:rsidR="009963C6" w:rsidRPr="00DC4F35" w:rsidRDefault="009963C6" w:rsidP="009963C6">
      <w:pPr>
        <w:pStyle w:val="Overskrift4"/>
      </w:pPr>
      <w:bookmarkStart w:id="56" w:name="_Ref160808818"/>
      <w:bookmarkStart w:id="57" w:name="_Toc162873929"/>
      <w:r w:rsidRPr="00DC4F35">
        <w:t>Overførsler særlige for tjenesten</w:t>
      </w:r>
      <w:r w:rsidR="005247DB" w:rsidRPr="00DC4F35">
        <w:t xml:space="preserve"> </w:t>
      </w:r>
      <w:r w:rsidRPr="00DC4F35">
        <w:t>Microsoft Teams</w:t>
      </w:r>
      <w:bookmarkEnd w:id="56"/>
      <w:bookmarkEnd w:id="57"/>
    </w:p>
    <w:p w14:paraId="4E49AD92" w14:textId="77777777" w:rsidR="009963C6" w:rsidRPr="00DC4F35" w:rsidRDefault="009963C6" w:rsidP="009963C6">
      <w:r w:rsidRPr="00DC4F35">
        <w:t xml:space="preserve">I relation til Microsoft Teams fremgår det af EU Data </w:t>
      </w:r>
      <w:proofErr w:type="spellStart"/>
      <w:r w:rsidRPr="00DC4F35">
        <w:t>Boundary</w:t>
      </w:r>
      <w:proofErr w:type="spellEnd"/>
      <w:r w:rsidRPr="00DC4F35">
        <w:t xml:space="preserve"> dokumentationen, at visse data behandles uden for EU Data </w:t>
      </w:r>
      <w:proofErr w:type="spellStart"/>
      <w:r w:rsidRPr="00DC4F35">
        <w:t>Boundary</w:t>
      </w:r>
      <w:proofErr w:type="spellEnd"/>
      <w:r w:rsidRPr="00DC4F35">
        <w:t xml:space="preserve"> ved brug af bestemte funktioner i tjenesten. </w:t>
      </w:r>
    </w:p>
    <w:p w14:paraId="7B9498BF" w14:textId="77777777" w:rsidR="009963C6" w:rsidRPr="00DC4F35" w:rsidRDefault="009963C6" w:rsidP="009963C6"/>
    <w:p w14:paraId="0EB4C802" w14:textId="1D094018" w:rsidR="009963C6" w:rsidRPr="00DC4F35" w:rsidRDefault="009963C6" w:rsidP="009963C6">
      <w:pPr>
        <w:rPr>
          <w:b/>
          <w:bCs/>
        </w:rPr>
      </w:pPr>
      <w:r w:rsidRPr="00DC4F35">
        <w:rPr>
          <w:b/>
          <w:bCs/>
        </w:rPr>
        <w:t>Teams Q&amp;A</w:t>
      </w:r>
    </w:p>
    <w:p w14:paraId="4869A880" w14:textId="084C3F5A" w:rsidR="009963C6" w:rsidRPr="001C19E7" w:rsidRDefault="009963C6" w:rsidP="009963C6">
      <w:pPr>
        <w:rPr>
          <w:lang w:val="en-US"/>
        </w:rPr>
      </w:pPr>
      <w:r w:rsidRPr="00DC4F35">
        <w:t xml:space="preserve">Ved brug af funktionen ”Teams Q&amp;A” vil visse data blive behandlet og opbevaret i Nordamerika indtil den 31. december 2024. Teams Q&amp;A er en funktion, der gør det muligt for en oplægsholder at modtage og besvare spørgsmål fra mødedeltagere i realtid. Der vil f.eks. kunne opstå tilfælde, hvor beskeder og reaktioner fra brugere overføres til USA. </w:t>
      </w:r>
      <w:r w:rsidRPr="001C19E7">
        <w:rPr>
          <w:lang w:val="en-US"/>
        </w:rPr>
        <w:t xml:space="preserve">Microsoft 365 tenant </w:t>
      </w:r>
      <w:proofErr w:type="spellStart"/>
      <w:r w:rsidRPr="001C19E7">
        <w:rPr>
          <w:lang w:val="en-US"/>
        </w:rPr>
        <w:t>administratorer</w:t>
      </w:r>
      <w:proofErr w:type="spellEnd"/>
      <w:r w:rsidRPr="001C19E7">
        <w:rPr>
          <w:lang w:val="en-US"/>
        </w:rPr>
        <w:t xml:space="preserve"> </w:t>
      </w:r>
      <w:proofErr w:type="spellStart"/>
      <w:r w:rsidRPr="001C19E7">
        <w:rPr>
          <w:lang w:val="en-US"/>
        </w:rPr>
        <w:t>kan</w:t>
      </w:r>
      <w:proofErr w:type="spellEnd"/>
      <w:r w:rsidRPr="001C19E7">
        <w:rPr>
          <w:lang w:val="en-US"/>
        </w:rPr>
        <w:t xml:space="preserve"> </w:t>
      </w:r>
      <w:proofErr w:type="spellStart"/>
      <w:r w:rsidRPr="001C19E7">
        <w:rPr>
          <w:lang w:val="en-US"/>
        </w:rPr>
        <w:t>deaktivere</w:t>
      </w:r>
      <w:proofErr w:type="spellEnd"/>
      <w:r w:rsidRPr="001C19E7">
        <w:rPr>
          <w:lang w:val="en-US"/>
        </w:rPr>
        <w:t xml:space="preserve"> Q&amp;A </w:t>
      </w:r>
      <w:proofErr w:type="spellStart"/>
      <w:r w:rsidRPr="001C19E7">
        <w:rPr>
          <w:lang w:val="en-US"/>
        </w:rPr>
        <w:t>funktionen</w:t>
      </w:r>
      <w:proofErr w:type="spellEnd"/>
      <w:r w:rsidRPr="001C19E7">
        <w:rPr>
          <w:lang w:val="en-US"/>
        </w:rPr>
        <w:t xml:space="preserve"> </w:t>
      </w:r>
      <w:proofErr w:type="spellStart"/>
      <w:r w:rsidRPr="001C19E7">
        <w:rPr>
          <w:lang w:val="en-US"/>
        </w:rPr>
        <w:t>i</w:t>
      </w:r>
      <w:proofErr w:type="spellEnd"/>
      <w:r w:rsidRPr="001C19E7">
        <w:rPr>
          <w:lang w:val="en-US"/>
        </w:rPr>
        <w:t xml:space="preserve"> Microsoft Teams. </w:t>
      </w:r>
    </w:p>
    <w:p w14:paraId="1872240C" w14:textId="77777777" w:rsidR="009963C6" w:rsidRPr="001C19E7" w:rsidRDefault="009963C6" w:rsidP="009963C6">
      <w:pPr>
        <w:rPr>
          <w:lang w:val="en-US"/>
        </w:rPr>
      </w:pPr>
    </w:p>
    <w:p w14:paraId="6DDDA943" w14:textId="404EB7D9" w:rsidR="009963C6" w:rsidRPr="001C19E7" w:rsidRDefault="009963C6" w:rsidP="009963C6">
      <w:pPr>
        <w:rPr>
          <w:b/>
          <w:bCs/>
          <w:lang w:val="en-US"/>
        </w:rPr>
      </w:pPr>
      <w:r w:rsidRPr="001C19E7">
        <w:rPr>
          <w:b/>
          <w:bCs/>
          <w:lang w:val="en-US"/>
        </w:rPr>
        <w:t>Public Switched Telephone Network (PSTN) Services</w:t>
      </w:r>
    </w:p>
    <w:p w14:paraId="6BB3656D" w14:textId="70271604" w:rsidR="009963C6" w:rsidRPr="00DC4F35" w:rsidRDefault="009963C6" w:rsidP="009963C6">
      <w:r w:rsidRPr="00DC4F35">
        <w:t xml:space="preserve">Ved brug af Teams til opkald og møder over telefonnetværket sker der overførsel af PSTN-telefonnumre og nødvendige oplysninger til </w:t>
      </w:r>
      <w:proofErr w:type="spellStart"/>
      <w:r w:rsidRPr="00DC4F35">
        <w:t>ruting</w:t>
      </w:r>
      <w:proofErr w:type="spellEnd"/>
      <w:r w:rsidRPr="00DC4F35">
        <w:t xml:space="preserve">, samt opkaldsspecifikke globale unikke </w:t>
      </w:r>
      <w:proofErr w:type="spellStart"/>
      <w:r w:rsidRPr="00DC4F35">
        <w:t>ID'er</w:t>
      </w:r>
      <w:proofErr w:type="spellEnd"/>
      <w:r w:rsidRPr="00DC4F35">
        <w:t xml:space="preserve"> (til USA). </w:t>
      </w:r>
    </w:p>
    <w:p w14:paraId="5C46EAA0" w14:textId="77777777" w:rsidR="009963C6" w:rsidRPr="00DC4F35" w:rsidRDefault="009963C6" w:rsidP="009963C6"/>
    <w:p w14:paraId="27A3E8D9" w14:textId="595EFA16" w:rsidR="009963C6" w:rsidRPr="00DC4F35" w:rsidRDefault="009963C6" w:rsidP="009963C6">
      <w:pPr>
        <w:rPr>
          <w:b/>
          <w:bCs/>
        </w:rPr>
      </w:pPr>
      <w:r w:rsidRPr="00DC4F35">
        <w:rPr>
          <w:b/>
          <w:bCs/>
        </w:rPr>
        <w:t>Emergency Calls</w:t>
      </w:r>
    </w:p>
    <w:p w14:paraId="562895D0" w14:textId="45F1CE44" w:rsidR="009963C6" w:rsidRPr="00DC4F35" w:rsidRDefault="009963C6" w:rsidP="009963C6">
      <w:r w:rsidRPr="00DC4F35">
        <w:lastRenderedPageBreak/>
        <w:t>Ved nødopkald (for eksempel ved at ringe 112) tildeles Teams</w:t>
      </w:r>
      <w:r w:rsidR="00114928" w:rsidRPr="00DC4F35">
        <w:t>-</w:t>
      </w:r>
      <w:r w:rsidRPr="00DC4F35">
        <w:t xml:space="preserve">brugeren midlertidigt et nummer fra en pulje af numre, der administreres af Microsoft. Det midlertidige nummer </w:t>
      </w:r>
      <w:proofErr w:type="spellStart"/>
      <w:r w:rsidRPr="00DC4F35">
        <w:t>replikeres</w:t>
      </w:r>
      <w:proofErr w:type="spellEnd"/>
      <w:r w:rsidRPr="00DC4F35">
        <w:t xml:space="preserve"> til USA og opbevares i 60 minutter i tilfælde af, at der er behov for at ringe tilbage.</w:t>
      </w:r>
    </w:p>
    <w:p w14:paraId="6E082341" w14:textId="77777777" w:rsidR="009963C6" w:rsidRPr="00DC4F35" w:rsidRDefault="009963C6" w:rsidP="009963C6"/>
    <w:p w14:paraId="493D5485" w14:textId="29DF87AF" w:rsidR="009963C6" w:rsidRPr="001C19E7" w:rsidRDefault="009963C6" w:rsidP="009963C6">
      <w:pPr>
        <w:rPr>
          <w:lang w:val="en-US"/>
        </w:rPr>
      </w:pPr>
      <w:r w:rsidRPr="001C19E7">
        <w:rPr>
          <w:b/>
          <w:bCs/>
          <w:lang w:val="en-US"/>
        </w:rPr>
        <w:t>Voicemail, Auto Attendant, and Call Queue greetings</w:t>
      </w:r>
    </w:p>
    <w:p w14:paraId="50E05F56" w14:textId="6882E32A" w:rsidR="009963C6" w:rsidRDefault="009963C6" w:rsidP="009963C6">
      <w:r w:rsidRPr="00DC4F35">
        <w:t xml:space="preserve">Hvis en bruger i EU Data </w:t>
      </w:r>
      <w:proofErr w:type="spellStart"/>
      <w:r w:rsidRPr="00DC4F35">
        <w:t>Boundary</w:t>
      </w:r>
      <w:proofErr w:type="spellEnd"/>
      <w:r w:rsidRPr="00DC4F35">
        <w:t xml:space="preserve"> indtaler talebeskeder o.l. til en bruger, lagres beskeden i modtagers region i 30 dage. </w:t>
      </w:r>
    </w:p>
    <w:p w14:paraId="11A05FF2" w14:textId="77777777" w:rsidR="00343473" w:rsidRDefault="00343473" w:rsidP="009963C6"/>
    <w:p w14:paraId="5BE81868" w14:textId="4C9BCACB" w:rsidR="00343473" w:rsidRPr="00DC4F35" w:rsidRDefault="00343473" w:rsidP="009963C6">
      <w:r w:rsidRPr="00343473">
        <w:t>Der vil blive udarbejdet retningslinjer, der afskærer brugen heraf i tilfælde, hvor modtager-brugeren befinder sig uden for EU.</w:t>
      </w:r>
    </w:p>
    <w:p w14:paraId="4AB64B18" w14:textId="77777777" w:rsidR="009963C6" w:rsidRPr="00DC4F35" w:rsidRDefault="009963C6" w:rsidP="009963C6"/>
    <w:p w14:paraId="4E6BC44A" w14:textId="77777777" w:rsidR="009963C6" w:rsidRPr="00DC4F35" w:rsidRDefault="009963C6" w:rsidP="009963C6">
      <w:pPr>
        <w:rPr>
          <w:b/>
          <w:bCs/>
        </w:rPr>
      </w:pPr>
      <w:r w:rsidRPr="00DC4F35">
        <w:rPr>
          <w:b/>
          <w:bCs/>
        </w:rPr>
        <w:t>Messaging Thread Service</w:t>
      </w:r>
    </w:p>
    <w:p w14:paraId="255A6524" w14:textId="0051A1A5" w:rsidR="009963C6" w:rsidRDefault="009963C6" w:rsidP="0036440D">
      <w:r w:rsidRPr="00DC4F35">
        <w:t>Beskedtråde i forbindelse med chats/møder opbevares i initiativtageres (dvs. chat-starteres/mødearrangørers) region.</w:t>
      </w:r>
    </w:p>
    <w:p w14:paraId="59306A77" w14:textId="77777777" w:rsidR="00842015" w:rsidRDefault="00842015" w:rsidP="0036440D"/>
    <w:p w14:paraId="7F873629" w14:textId="7CFF6A34" w:rsidR="00842015" w:rsidRPr="00DC4F35" w:rsidRDefault="003314D8" w:rsidP="0036440D">
      <w:pPr>
        <w:rPr>
          <w:rFonts w:cstheme="minorHAnsi"/>
        </w:rPr>
      </w:pPr>
      <w:r w:rsidRPr="003314D8">
        <w:rPr>
          <w:rFonts w:cstheme="minorHAnsi"/>
        </w:rPr>
        <w:t>Der vil blive udarbejdet retningslinjer, der afskærer brugen heraf i tilfælde, hvor initi</w:t>
      </w:r>
      <w:r w:rsidR="00720570">
        <w:rPr>
          <w:rFonts w:cstheme="minorHAnsi"/>
        </w:rPr>
        <w:t>ati</w:t>
      </w:r>
      <w:r w:rsidRPr="003314D8">
        <w:rPr>
          <w:rFonts w:cstheme="minorHAnsi"/>
        </w:rPr>
        <w:t>vtageren befinder sig uden for EU.</w:t>
      </w:r>
    </w:p>
    <w:p w14:paraId="36D44447" w14:textId="77777777" w:rsidR="0036440D" w:rsidRPr="00DC4F35" w:rsidRDefault="0036440D" w:rsidP="0036440D">
      <w:pPr>
        <w:rPr>
          <w:lang w:eastAsia="da-DK"/>
        </w:rPr>
      </w:pPr>
    </w:p>
    <w:p w14:paraId="084C274C" w14:textId="231499D3" w:rsidR="0036440D" w:rsidRPr="00DC4F35" w:rsidRDefault="0036440D" w:rsidP="0036440D">
      <w:pPr>
        <w:pStyle w:val="Overskrift2"/>
      </w:pPr>
      <w:bookmarkStart w:id="58" w:name="_Toc170824032"/>
      <w:r w:rsidRPr="00DC4F35">
        <w:t xml:space="preserve">Er </w:t>
      </w:r>
      <w:r w:rsidR="00A11D67" w:rsidRPr="00DC4F35">
        <w:t>overførslerne</w:t>
      </w:r>
      <w:r w:rsidRPr="00DC4F35">
        <w:t xml:space="preserve"> af personoplysninger begrænset til det</w:t>
      </w:r>
      <w:r w:rsidR="00661265" w:rsidRPr="00DC4F35">
        <w:t>,</w:t>
      </w:r>
      <w:r w:rsidRPr="00DC4F35">
        <w:t xml:space="preserve"> der er nødvendig</w:t>
      </w:r>
      <w:r w:rsidR="00661265" w:rsidRPr="00DC4F35">
        <w:t>t</w:t>
      </w:r>
      <w:r w:rsidRPr="00DC4F35">
        <w:t xml:space="preserve"> for behandlingen?</w:t>
      </w:r>
      <w:bookmarkEnd w:id="58"/>
    </w:p>
    <w:p w14:paraId="5C52403B" w14:textId="162EAB7C" w:rsidR="00762E37" w:rsidRPr="00DC4F35" w:rsidRDefault="00762E37" w:rsidP="00762E37">
      <w:pPr>
        <w:pStyle w:val="Overskrift3"/>
      </w:pPr>
      <w:bookmarkStart w:id="59" w:name="_Toc170824033"/>
      <w:r w:rsidRPr="00DC4F35">
        <w:t>Tilsigtede overførsler til underdatabehandlere uden</w:t>
      </w:r>
      <w:r w:rsidR="00375A31" w:rsidRPr="00DC4F35">
        <w:t xml:space="preserve"> </w:t>
      </w:r>
      <w:r w:rsidRPr="00DC4F35">
        <w:t xml:space="preserve">for EU/EØS, hvor der sker overladelse til underdatabehandlere i tredjelande i forbindelse med levering af applikationer og cloudtjenester (undtagelser til EU Data </w:t>
      </w:r>
      <w:proofErr w:type="spellStart"/>
      <w:r w:rsidRPr="00DC4F35">
        <w:t>Boundary</w:t>
      </w:r>
      <w:proofErr w:type="spellEnd"/>
      <w:r w:rsidRPr="00DC4F35">
        <w:t>)</w:t>
      </w:r>
      <w:bookmarkEnd w:id="59"/>
    </w:p>
    <w:p w14:paraId="5A770055" w14:textId="67CA4D88" w:rsidR="00762E37" w:rsidRPr="00DC4F35" w:rsidRDefault="00762E37" w:rsidP="00762E37">
      <w:r w:rsidRPr="00DC4F35">
        <w:t>I det følgende beskrives nødvendigheden af de tilsigtede overførsler af personoplysninger til Microsoft Irelands underdatabehandlere i tredjelande som følge af Microsoft Irelands levering af tjenesterne og services som databehandler (tilsigtede overførsler).</w:t>
      </w:r>
    </w:p>
    <w:p w14:paraId="5F7D1317" w14:textId="77777777" w:rsidR="00762E37" w:rsidRPr="00DC4F35" w:rsidRDefault="00762E37" w:rsidP="00762E37"/>
    <w:p w14:paraId="380FE0F6" w14:textId="79E27A72" w:rsidR="0036440D" w:rsidRPr="00DC4F35" w:rsidRDefault="0036440D" w:rsidP="0036440D">
      <w:pPr>
        <w:rPr>
          <w:rFonts w:cstheme="minorHAnsi"/>
        </w:rPr>
      </w:pPr>
      <w:r w:rsidRPr="00DC4F35">
        <w:rPr>
          <w:rFonts w:cstheme="minorHAnsi"/>
        </w:rPr>
        <w:t xml:space="preserve">Microsoft </w:t>
      </w:r>
      <w:r w:rsidR="008A5609" w:rsidRPr="00DC4F35">
        <w:rPr>
          <w:rFonts w:cstheme="minorHAnsi"/>
        </w:rPr>
        <w:t xml:space="preserve">Ireland </w:t>
      </w:r>
      <w:r w:rsidRPr="00DC4F35">
        <w:rPr>
          <w:rFonts w:cstheme="minorHAnsi"/>
        </w:rPr>
        <w:t xml:space="preserve">angiver i </w:t>
      </w:r>
      <w:r w:rsidR="000B1A6F" w:rsidRPr="00DC4F35">
        <w:t xml:space="preserve">EU Data </w:t>
      </w:r>
      <w:proofErr w:type="spellStart"/>
      <w:r w:rsidR="000B1A6F" w:rsidRPr="00DC4F35">
        <w:t>Boundary</w:t>
      </w:r>
      <w:proofErr w:type="spellEnd"/>
      <w:r w:rsidR="000B1A6F" w:rsidRPr="00DC4F35">
        <w:t xml:space="preserve"> </w:t>
      </w:r>
      <w:r w:rsidRPr="00DC4F35">
        <w:rPr>
          <w:rFonts w:cstheme="minorHAnsi"/>
        </w:rPr>
        <w:t>do</w:t>
      </w:r>
      <w:r w:rsidR="000B1A6F" w:rsidRPr="00DC4F35">
        <w:rPr>
          <w:rFonts w:cstheme="minorHAnsi"/>
        </w:rPr>
        <w:t>k</w:t>
      </w:r>
      <w:r w:rsidRPr="00DC4F35">
        <w:rPr>
          <w:rFonts w:cstheme="minorHAnsi"/>
        </w:rPr>
        <w:t xml:space="preserve">umentation vedrørende EU Data </w:t>
      </w:r>
      <w:proofErr w:type="spellStart"/>
      <w:r w:rsidRPr="00DC4F35">
        <w:rPr>
          <w:rFonts w:cstheme="minorHAnsi"/>
        </w:rPr>
        <w:t>Boundary</w:t>
      </w:r>
      <w:proofErr w:type="spellEnd"/>
      <w:r w:rsidRPr="00DC4F35">
        <w:rPr>
          <w:rFonts w:cstheme="minorHAnsi"/>
        </w:rPr>
        <w:t xml:space="preserve"> for hver undtagelsessituation hvorfor, at overførslen er nødvendig</w:t>
      </w:r>
      <w:r w:rsidR="00FD4C47" w:rsidRPr="00DC4F35">
        <w:rPr>
          <w:rFonts w:cstheme="minorHAnsi"/>
        </w:rPr>
        <w:t xml:space="preserve"> i lyset af formålet</w:t>
      </w:r>
      <w:r w:rsidR="00B13674" w:rsidRPr="00DC4F35">
        <w:rPr>
          <w:rFonts w:cstheme="minorHAnsi"/>
        </w:rPr>
        <w:t>,</w:t>
      </w:r>
      <w:r w:rsidRPr="00DC4F35">
        <w:rPr>
          <w:rFonts w:cstheme="minorHAnsi"/>
        </w:rPr>
        <w:t xml:space="preserve"> samt hvad der er gjort for at minimere omfanget af overførslerne</w:t>
      </w:r>
      <w:r w:rsidRPr="00DC4F35">
        <w:rPr>
          <w:rFonts w:cstheme="minorHAnsi"/>
          <w:iCs/>
        </w:rPr>
        <w:t xml:space="preserve">. </w:t>
      </w:r>
      <w:r w:rsidRPr="00DC4F35">
        <w:rPr>
          <w:rFonts w:cstheme="minorHAnsi"/>
        </w:rPr>
        <w:t>Dette er angivet skematisk nedenfor</w:t>
      </w:r>
      <w:r w:rsidR="007A7D0E" w:rsidRPr="00DC4F35">
        <w:rPr>
          <w:rFonts w:cstheme="minorHAnsi"/>
        </w:rPr>
        <w:t>.</w:t>
      </w:r>
    </w:p>
    <w:p w14:paraId="54360FDD" w14:textId="77777777" w:rsidR="0036440D" w:rsidRPr="00DC4F35" w:rsidRDefault="0036440D" w:rsidP="0036440D">
      <w:pPr>
        <w:rPr>
          <w:rFonts w:cstheme="minorHAnsi"/>
          <w:iCs/>
        </w:rPr>
      </w:pPr>
    </w:p>
    <w:tbl>
      <w:tblPr>
        <w:tblStyle w:val="Tabel-Gitter"/>
        <w:tblW w:w="9776" w:type="dxa"/>
        <w:tblLook w:val="04A0" w:firstRow="1" w:lastRow="0" w:firstColumn="1" w:lastColumn="0" w:noHBand="0" w:noVBand="1"/>
      </w:tblPr>
      <w:tblGrid>
        <w:gridCol w:w="2122"/>
        <w:gridCol w:w="7654"/>
      </w:tblGrid>
      <w:tr w:rsidR="0036440D" w:rsidRPr="00DC4F35" w14:paraId="16D563C4" w14:textId="77777777" w:rsidTr="00C83C91">
        <w:tc>
          <w:tcPr>
            <w:tcW w:w="2122" w:type="dxa"/>
            <w:shd w:val="clear" w:color="auto" w:fill="A6B8BE" w:themeFill="accent1" w:themeFillTint="99"/>
          </w:tcPr>
          <w:p w14:paraId="390B6A9A" w14:textId="77777777" w:rsidR="0036440D" w:rsidRPr="00DC4F35" w:rsidRDefault="0036440D" w:rsidP="00C83C91">
            <w:pPr>
              <w:rPr>
                <w:b/>
                <w:bCs/>
                <w:lang w:eastAsia="da-DK"/>
              </w:rPr>
            </w:pPr>
            <w:r w:rsidRPr="00DC4F35">
              <w:rPr>
                <w:b/>
                <w:bCs/>
                <w:lang w:eastAsia="da-DK"/>
              </w:rPr>
              <w:t>Overførsel</w:t>
            </w:r>
          </w:p>
        </w:tc>
        <w:tc>
          <w:tcPr>
            <w:tcW w:w="7654" w:type="dxa"/>
            <w:shd w:val="clear" w:color="auto" w:fill="A6B8BE" w:themeFill="accent1" w:themeFillTint="99"/>
          </w:tcPr>
          <w:p w14:paraId="06055D35" w14:textId="77777777" w:rsidR="0036440D" w:rsidRPr="00DC4F35" w:rsidRDefault="0036440D" w:rsidP="00C83C91">
            <w:pPr>
              <w:rPr>
                <w:b/>
                <w:bCs/>
                <w:lang w:eastAsia="da-DK"/>
              </w:rPr>
            </w:pPr>
            <w:r w:rsidRPr="00DC4F35">
              <w:rPr>
                <w:b/>
                <w:bCs/>
                <w:lang w:eastAsia="da-DK"/>
              </w:rPr>
              <w:t xml:space="preserve">Dataminimering </w:t>
            </w:r>
          </w:p>
        </w:tc>
      </w:tr>
      <w:tr w:rsidR="0036440D" w:rsidRPr="00D87AC5" w14:paraId="025EEC97" w14:textId="77777777" w:rsidTr="00C83C91">
        <w:trPr>
          <w:trHeight w:val="1563"/>
        </w:trPr>
        <w:tc>
          <w:tcPr>
            <w:tcW w:w="2122" w:type="dxa"/>
          </w:tcPr>
          <w:p w14:paraId="136121CF" w14:textId="6C618039" w:rsidR="0036440D" w:rsidRPr="00DC4F35" w:rsidRDefault="00296261" w:rsidP="00C83C91">
            <w:pPr>
              <w:rPr>
                <w:i/>
                <w:iCs/>
                <w:lang w:eastAsia="da-DK"/>
              </w:rPr>
            </w:pPr>
            <w:r w:rsidRPr="00DC4F35">
              <w:lastRenderedPageBreak/>
              <w:t xml:space="preserve">Overførsel med henblik på opretholdelse af services (Remote </w:t>
            </w:r>
            <w:proofErr w:type="spellStart"/>
            <w:r w:rsidRPr="00DC4F35">
              <w:t>access</w:t>
            </w:r>
            <w:proofErr w:type="spellEnd"/>
            <w:r w:rsidRPr="00DC4F35">
              <w:t>)</w:t>
            </w:r>
          </w:p>
        </w:tc>
        <w:tc>
          <w:tcPr>
            <w:tcW w:w="7654" w:type="dxa"/>
          </w:tcPr>
          <w:p w14:paraId="105AC03E" w14:textId="48FD9FF4" w:rsidR="0036440D" w:rsidRPr="00DC4F35" w:rsidRDefault="0036440D" w:rsidP="00C83C91">
            <w:pPr>
              <w:rPr>
                <w:rFonts w:cstheme="minorHAnsi"/>
              </w:rPr>
            </w:pPr>
            <w:r w:rsidRPr="00DC4F35">
              <w:rPr>
                <w:rFonts w:cstheme="minorHAnsi"/>
                <w:iCs/>
              </w:rPr>
              <w:t xml:space="preserve">Microsoft </w:t>
            </w:r>
            <w:r w:rsidR="00517EF7" w:rsidRPr="00DC4F35">
              <w:rPr>
                <w:rFonts w:cstheme="minorHAnsi"/>
                <w:iCs/>
              </w:rPr>
              <w:t xml:space="preserve">Ireland </w:t>
            </w:r>
            <w:r w:rsidRPr="00DC4F35">
              <w:rPr>
                <w:rFonts w:cstheme="minorHAnsi"/>
                <w:iCs/>
              </w:rPr>
              <w:t xml:space="preserve">beskriver nødvendigheden af overførslen på følgende måde i </w:t>
            </w:r>
            <w:r w:rsidR="000B1A6F" w:rsidRPr="00DC4F35">
              <w:t xml:space="preserve">EU Data </w:t>
            </w:r>
            <w:proofErr w:type="spellStart"/>
            <w:r w:rsidR="000B1A6F" w:rsidRPr="00DC4F35">
              <w:t>Boundary</w:t>
            </w:r>
            <w:proofErr w:type="spellEnd"/>
            <w:r w:rsidR="000B1A6F" w:rsidRPr="00DC4F35">
              <w:t xml:space="preserve"> </w:t>
            </w:r>
            <w:r w:rsidRPr="00DC4F35">
              <w:rPr>
                <w:rFonts w:cstheme="minorHAnsi"/>
              </w:rPr>
              <w:t>do</w:t>
            </w:r>
            <w:r w:rsidR="000B1A6F" w:rsidRPr="00DC4F35">
              <w:rPr>
                <w:rFonts w:cstheme="minorHAnsi"/>
              </w:rPr>
              <w:t>k</w:t>
            </w:r>
            <w:r w:rsidRPr="00DC4F35">
              <w:rPr>
                <w:rFonts w:cstheme="minorHAnsi"/>
              </w:rPr>
              <w:t>umentation:</w:t>
            </w:r>
          </w:p>
          <w:p w14:paraId="048DCD4A" w14:textId="77777777" w:rsidR="0036440D" w:rsidRPr="00DC4F35" w:rsidRDefault="0036440D" w:rsidP="00C83C91">
            <w:pPr>
              <w:rPr>
                <w:rFonts w:cstheme="minorHAnsi"/>
                <w:iCs/>
              </w:rPr>
            </w:pPr>
          </w:p>
          <w:p w14:paraId="62B7A6EC" w14:textId="77777777" w:rsidR="00993E1A" w:rsidRPr="001C19E7" w:rsidRDefault="0036440D" w:rsidP="005555F7">
            <w:pPr>
              <w:rPr>
                <w:rFonts w:cstheme="minorHAnsi"/>
                <w:i/>
                <w:lang w:val="en-US"/>
              </w:rPr>
            </w:pPr>
            <w:proofErr w:type="gramStart"/>
            <w:r w:rsidRPr="001C19E7">
              <w:rPr>
                <w:rFonts w:cstheme="minorHAnsi"/>
                <w:iCs/>
                <w:lang w:val="en-US"/>
              </w:rPr>
              <w:t>”</w:t>
            </w:r>
            <w:r w:rsidRPr="001C19E7">
              <w:rPr>
                <w:rFonts w:cstheme="minorHAnsi"/>
                <w:i/>
                <w:lang w:val="en-US"/>
              </w:rPr>
              <w:t>Microsoft</w:t>
            </w:r>
            <w:proofErr w:type="gramEnd"/>
            <w:r w:rsidRPr="001C19E7">
              <w:rPr>
                <w:rFonts w:cstheme="minorHAnsi"/>
                <w:i/>
                <w:lang w:val="en-US"/>
              </w:rPr>
              <w:t xml:space="preserve"> cloud services are built, operated, kept secure, and maintained by expert teams from around the world to provide customers with the highest level of service quality, support, security and reliability. This model (known as the Microsoft DevOps model) puts developers and operations staff together working in tandem to continuously build, maintain and provide the services. </w:t>
            </w:r>
          </w:p>
          <w:p w14:paraId="18420B0A" w14:textId="77777777" w:rsidR="00993E1A" w:rsidRPr="001C19E7" w:rsidRDefault="00993E1A" w:rsidP="005555F7">
            <w:pPr>
              <w:rPr>
                <w:rFonts w:cstheme="minorHAnsi"/>
                <w:i/>
                <w:lang w:val="en-US"/>
              </w:rPr>
            </w:pPr>
          </w:p>
          <w:p w14:paraId="0EF5E023" w14:textId="74130E9A" w:rsidR="00993E1A" w:rsidRPr="001C19E7" w:rsidRDefault="00993E1A" w:rsidP="005555F7">
            <w:pPr>
              <w:rPr>
                <w:rFonts w:cstheme="minorHAnsi"/>
                <w:i/>
                <w:lang w:val="en-US"/>
              </w:rPr>
            </w:pPr>
            <w:r w:rsidRPr="001C19E7">
              <w:rPr>
                <w:rFonts w:cstheme="minorHAnsi"/>
                <w:i/>
                <w:lang w:val="en-US"/>
              </w:rPr>
              <w:t>[…]</w:t>
            </w:r>
          </w:p>
          <w:p w14:paraId="31ED39BA" w14:textId="77777777" w:rsidR="007A7D0E" w:rsidRPr="001C19E7" w:rsidRDefault="007A7D0E" w:rsidP="005555F7">
            <w:pPr>
              <w:rPr>
                <w:rFonts w:cstheme="minorHAnsi"/>
                <w:i/>
                <w:lang w:val="en-US"/>
              </w:rPr>
            </w:pPr>
          </w:p>
          <w:p w14:paraId="4F093D4A" w14:textId="0A456534" w:rsidR="0036440D" w:rsidRPr="001C19E7" w:rsidRDefault="005555F7" w:rsidP="005555F7">
            <w:pPr>
              <w:rPr>
                <w:rFonts w:cstheme="minorHAnsi"/>
                <w:i/>
                <w:lang w:val="en-US"/>
              </w:rPr>
            </w:pPr>
            <w:r w:rsidRPr="001C19E7">
              <w:rPr>
                <w:rFonts w:cstheme="minorHAnsi"/>
                <w:i/>
                <w:lang w:val="en-US"/>
              </w:rPr>
              <w:t>We design our services and processes to maximize the ability of DevOps personnel to operate the services without requiring access to Customer Data, employing automated tooling to identify and repair issues. In rare cases when a service is down or in need of a repair that can’t be effectuated with automated tooling, authorized Microsoft personnel may require remote access to data stored within the EU Data Boundary, including Customer Data.</w:t>
            </w:r>
            <w:r w:rsidR="00B83C81" w:rsidRPr="001C19E7">
              <w:rPr>
                <w:rFonts w:cstheme="minorHAnsi"/>
                <w:i/>
                <w:lang w:val="en-US"/>
              </w:rPr>
              <w:t>”</w:t>
            </w:r>
            <w:r w:rsidRPr="001C19E7">
              <w:rPr>
                <w:rFonts w:cstheme="minorHAnsi"/>
                <w:i/>
                <w:lang w:val="en-US"/>
              </w:rPr>
              <w:t xml:space="preserve"> </w:t>
            </w:r>
            <w:r w:rsidRPr="001C19E7">
              <w:rPr>
                <w:rFonts w:cstheme="minorHAnsi"/>
                <w:i/>
                <w:lang w:val="en-US"/>
              </w:rPr>
              <w:cr/>
            </w:r>
          </w:p>
          <w:p w14:paraId="758946F8" w14:textId="51E02A01" w:rsidR="00993E1A" w:rsidRPr="00DC4F35" w:rsidRDefault="00993E1A" w:rsidP="005555F7">
            <w:pPr>
              <w:rPr>
                <w:rFonts w:cstheme="minorHAnsi"/>
                <w:iCs/>
              </w:rPr>
            </w:pPr>
            <w:r w:rsidRPr="00DC4F35">
              <w:rPr>
                <w:rFonts w:cstheme="minorHAnsi"/>
                <w:iCs/>
              </w:rPr>
              <w:t xml:space="preserve">I forlængelse heraf fremgår følgende om Customer </w:t>
            </w:r>
            <w:proofErr w:type="spellStart"/>
            <w:r w:rsidRPr="00DC4F35">
              <w:rPr>
                <w:rFonts w:cstheme="minorHAnsi"/>
                <w:iCs/>
              </w:rPr>
              <w:t>Lockbox</w:t>
            </w:r>
            <w:proofErr w:type="spellEnd"/>
            <w:r w:rsidRPr="00DC4F35">
              <w:rPr>
                <w:rFonts w:cstheme="minorHAnsi"/>
                <w:iCs/>
              </w:rPr>
              <w:t>, som også er tilvalgt af De Dataansvarlige, hvorved det yderligere sikres, at adgangen til personoplysninger vurderes nødvendig:</w:t>
            </w:r>
          </w:p>
          <w:p w14:paraId="0E8F1AE8" w14:textId="77777777" w:rsidR="00993E1A" w:rsidRPr="00DC4F35" w:rsidRDefault="00993E1A" w:rsidP="005555F7">
            <w:pPr>
              <w:rPr>
                <w:rFonts w:cstheme="minorHAnsi"/>
                <w:iCs/>
              </w:rPr>
            </w:pPr>
          </w:p>
          <w:p w14:paraId="00B99380" w14:textId="36DA4DC3" w:rsidR="00993E1A" w:rsidRPr="001C19E7" w:rsidRDefault="00993E1A" w:rsidP="005555F7">
            <w:pPr>
              <w:rPr>
                <w:rFonts w:cstheme="minorHAnsi"/>
                <w:i/>
                <w:iCs/>
                <w:lang w:val="en-US"/>
              </w:rPr>
            </w:pPr>
            <w:r w:rsidRPr="001C19E7">
              <w:rPr>
                <w:i/>
                <w:iCs/>
                <w:lang w:val="en-US"/>
              </w:rPr>
              <w:t>“In addition to the controls described previously, customers may establish additional access controls for many Microsoft cloud services by enabling Customer Lockbox. Implementation of the Customer Lockbox feature varies slightly by service, but Customer Lockbox generally ensures that Microsoft personnel can't access Customer Data to perform service operations without the customer's explicit approval.”</w:t>
            </w:r>
          </w:p>
          <w:p w14:paraId="30811C92" w14:textId="77777777" w:rsidR="0036440D" w:rsidRPr="001C19E7" w:rsidRDefault="0036440D" w:rsidP="00C83C91">
            <w:pPr>
              <w:rPr>
                <w:rFonts w:cstheme="minorHAnsi"/>
                <w:iCs/>
                <w:lang w:val="en-US"/>
              </w:rPr>
            </w:pPr>
          </w:p>
          <w:p w14:paraId="6431DAF6" w14:textId="0A0FFDA9" w:rsidR="0036440D" w:rsidRPr="00DC4F35" w:rsidRDefault="0036440D" w:rsidP="00C83C91">
            <w:pPr>
              <w:rPr>
                <w:rFonts w:cstheme="minorHAnsi"/>
                <w:iCs/>
              </w:rPr>
            </w:pPr>
            <w:r w:rsidRPr="00DC4F35">
              <w:rPr>
                <w:rFonts w:cstheme="minorHAnsi"/>
                <w:iCs/>
              </w:rPr>
              <w:t xml:space="preserve">Det fremgår hertil videre af </w:t>
            </w:r>
            <w:r w:rsidR="000B1A6F" w:rsidRPr="00DC4F35">
              <w:t xml:space="preserve">EU Data </w:t>
            </w:r>
            <w:proofErr w:type="spellStart"/>
            <w:r w:rsidR="000B1A6F" w:rsidRPr="00DC4F35">
              <w:t>Boundary</w:t>
            </w:r>
            <w:proofErr w:type="spellEnd"/>
            <w:r w:rsidR="000B1A6F" w:rsidRPr="00DC4F35">
              <w:t xml:space="preserve"> </w:t>
            </w:r>
            <w:r w:rsidRPr="00DC4F35">
              <w:rPr>
                <w:rFonts w:cstheme="minorHAnsi"/>
              </w:rPr>
              <w:t>do</w:t>
            </w:r>
            <w:r w:rsidR="000B1A6F" w:rsidRPr="00DC4F35">
              <w:rPr>
                <w:rFonts w:cstheme="minorHAnsi"/>
              </w:rPr>
              <w:t>k</w:t>
            </w:r>
            <w:r w:rsidRPr="00DC4F35">
              <w:rPr>
                <w:rFonts w:cstheme="minorHAnsi"/>
              </w:rPr>
              <w:t>umentation</w:t>
            </w:r>
            <w:r w:rsidRPr="00DC4F35">
              <w:rPr>
                <w:rFonts w:cstheme="minorHAnsi"/>
                <w:iCs/>
              </w:rPr>
              <w:t xml:space="preserve">, at </w:t>
            </w:r>
            <w:proofErr w:type="spellStart"/>
            <w:r w:rsidRPr="00DC4F35">
              <w:rPr>
                <w:rFonts w:cstheme="minorHAnsi"/>
                <w:iCs/>
              </w:rPr>
              <w:t>Micosoft</w:t>
            </w:r>
            <w:proofErr w:type="spellEnd"/>
            <w:r w:rsidR="00517EF7" w:rsidRPr="00DC4F35">
              <w:rPr>
                <w:rFonts w:cstheme="minorHAnsi"/>
                <w:iCs/>
              </w:rPr>
              <w:t xml:space="preserve"> Ireland</w:t>
            </w:r>
            <w:r w:rsidRPr="00DC4F35">
              <w:rPr>
                <w:rFonts w:cstheme="minorHAnsi"/>
                <w:iCs/>
              </w:rPr>
              <w:t xml:space="preserve"> vil minimere omfanget af overførslen på følgende måde: </w:t>
            </w:r>
          </w:p>
          <w:p w14:paraId="67AA0BF9" w14:textId="77777777" w:rsidR="0036440D" w:rsidRPr="00DC4F35" w:rsidRDefault="0036440D" w:rsidP="00C83C91">
            <w:pPr>
              <w:rPr>
                <w:rFonts w:cstheme="minorHAnsi"/>
                <w:iCs/>
              </w:rPr>
            </w:pPr>
          </w:p>
          <w:p w14:paraId="019A2BEC" w14:textId="77D28698" w:rsidR="0036440D" w:rsidRPr="001C19E7" w:rsidRDefault="0036440D" w:rsidP="00C83C91">
            <w:pPr>
              <w:rPr>
                <w:lang w:val="en-US" w:eastAsia="da-DK"/>
              </w:rPr>
            </w:pPr>
            <w:r w:rsidRPr="00DC4F35">
              <w:rPr>
                <w:rFonts w:cstheme="minorHAnsi"/>
                <w:iCs/>
              </w:rPr>
              <w:t xml:space="preserve"> </w:t>
            </w:r>
            <w:proofErr w:type="gramStart"/>
            <w:r w:rsidRPr="001C19E7">
              <w:rPr>
                <w:rFonts w:cstheme="minorHAnsi"/>
                <w:iCs/>
                <w:lang w:val="en-US"/>
              </w:rPr>
              <w:t>”</w:t>
            </w:r>
            <w:r w:rsidR="00993E1A" w:rsidRPr="001C19E7">
              <w:rPr>
                <w:rFonts w:cstheme="minorHAnsi"/>
                <w:i/>
                <w:lang w:val="en-US"/>
              </w:rPr>
              <w:t>There's</w:t>
            </w:r>
            <w:proofErr w:type="gramEnd"/>
            <w:r w:rsidR="00993E1A" w:rsidRPr="001C19E7">
              <w:rPr>
                <w:rFonts w:cstheme="minorHAnsi"/>
                <w:i/>
                <w:lang w:val="en-US"/>
              </w:rPr>
              <w:t xml:space="preserve"> no default access to Customer Data; access is provided to Microsoft personnel only when a task requires it. Access to Customer Data must be for an appropriate purpose, must be limited to the amount and type of Customer Data required to achieve the appropriate purpose, and where the purpose can only be achieved through this level of access. Microsoft uses just-in-time (JIT) access approvals which are granted only for as long as is necessary to achieve that purpose. </w:t>
            </w:r>
            <w:r w:rsidR="00993E1A" w:rsidRPr="001C19E7">
              <w:rPr>
                <w:rFonts w:cstheme="minorHAnsi"/>
                <w:i/>
                <w:lang w:val="en-US"/>
              </w:rPr>
              <w:lastRenderedPageBreak/>
              <w:t>Microsoft also relies on role-based access control (RBAC), where individual access is subject to strict requirements, such as the need-to-know principle, mandatory continual training, and oversight by one or more managers.</w:t>
            </w:r>
          </w:p>
          <w:p w14:paraId="1293B5C2" w14:textId="77777777" w:rsidR="0036440D" w:rsidRPr="001C19E7" w:rsidRDefault="0036440D" w:rsidP="00C83C91">
            <w:pPr>
              <w:rPr>
                <w:lang w:val="en-US" w:eastAsia="da-DK"/>
              </w:rPr>
            </w:pPr>
          </w:p>
          <w:p w14:paraId="40120A9E" w14:textId="77777777" w:rsidR="00993E1A" w:rsidRPr="001C19E7" w:rsidRDefault="00993E1A" w:rsidP="00993E1A">
            <w:pPr>
              <w:rPr>
                <w:i/>
                <w:iCs/>
                <w:lang w:val="en-US" w:eastAsia="da-DK"/>
              </w:rPr>
            </w:pPr>
            <w:r w:rsidRPr="001C19E7">
              <w:rPr>
                <w:i/>
                <w:iCs/>
                <w:lang w:val="en-US" w:eastAsia="da-DK"/>
              </w:rPr>
              <w:t>Microsoft personnel that have access to Customer Data operate from secure admin</w:t>
            </w:r>
          </w:p>
          <w:p w14:paraId="0F2E1F6D" w14:textId="77777777" w:rsidR="00993E1A" w:rsidRPr="001C19E7" w:rsidRDefault="00993E1A" w:rsidP="00993E1A">
            <w:pPr>
              <w:rPr>
                <w:i/>
                <w:iCs/>
                <w:lang w:val="en-US" w:eastAsia="da-DK"/>
              </w:rPr>
            </w:pPr>
            <w:r w:rsidRPr="001C19E7">
              <w:rPr>
                <w:i/>
                <w:iCs/>
                <w:lang w:val="en-US" w:eastAsia="da-DK"/>
              </w:rPr>
              <w:t>workstations (SAWs). SAWs are limited-function computers that reduce the risk of</w:t>
            </w:r>
          </w:p>
          <w:p w14:paraId="3DB6369A" w14:textId="77777777" w:rsidR="00993E1A" w:rsidRPr="001C19E7" w:rsidRDefault="00993E1A" w:rsidP="00993E1A">
            <w:pPr>
              <w:rPr>
                <w:i/>
                <w:iCs/>
                <w:lang w:val="en-US" w:eastAsia="da-DK"/>
              </w:rPr>
            </w:pPr>
            <w:r w:rsidRPr="001C19E7">
              <w:rPr>
                <w:i/>
                <w:iCs/>
                <w:lang w:val="en-US" w:eastAsia="da-DK"/>
              </w:rPr>
              <w:t>compromise from malware, phishing attacks, bogus websites, and pass-the-hash (</w:t>
            </w:r>
            <w:proofErr w:type="spellStart"/>
            <w:r w:rsidRPr="001C19E7">
              <w:rPr>
                <w:i/>
                <w:iCs/>
                <w:lang w:val="en-US" w:eastAsia="da-DK"/>
              </w:rPr>
              <w:t>PtH</w:t>
            </w:r>
            <w:proofErr w:type="spellEnd"/>
            <w:r w:rsidRPr="001C19E7">
              <w:rPr>
                <w:i/>
                <w:iCs/>
                <w:lang w:val="en-US" w:eastAsia="da-DK"/>
              </w:rPr>
              <w:t>) attacks, among other security risks, and are enabled with countermeasures intended to make data exfiltration difficult. For example, Microsoft personnel working on SAWs have restricted access to the internet on such devices and are unable to access external or removable media because those capabilities are blocked in the SAW implementation</w:t>
            </w:r>
            <w:r w:rsidR="0036440D" w:rsidRPr="001C19E7">
              <w:rPr>
                <w:i/>
                <w:iCs/>
                <w:lang w:val="en-US" w:eastAsia="da-DK"/>
              </w:rPr>
              <w:t xml:space="preserve">. </w:t>
            </w:r>
          </w:p>
          <w:p w14:paraId="10DE697D" w14:textId="77777777" w:rsidR="00993E1A" w:rsidRPr="001C19E7" w:rsidRDefault="00993E1A" w:rsidP="00993E1A">
            <w:pPr>
              <w:rPr>
                <w:i/>
                <w:iCs/>
                <w:lang w:val="en-US" w:eastAsia="da-DK"/>
              </w:rPr>
            </w:pPr>
          </w:p>
          <w:p w14:paraId="47B08FB8" w14:textId="1675AE83" w:rsidR="0036440D" w:rsidRPr="00C83C91" w:rsidRDefault="0036440D" w:rsidP="00993E1A">
            <w:pPr>
              <w:rPr>
                <w:i/>
                <w:iCs/>
                <w:lang w:val="en-US" w:eastAsia="da-DK"/>
              </w:rPr>
            </w:pPr>
            <w:r w:rsidRPr="00C83C91">
              <w:rPr>
                <w:i/>
                <w:iCs/>
                <w:lang w:val="en-US" w:eastAsia="da-DK"/>
              </w:rPr>
              <w:t>[</w:t>
            </w:r>
            <w:r w:rsidR="00993E1A" w:rsidRPr="00C83C91">
              <w:rPr>
                <w:i/>
                <w:iCs/>
                <w:lang w:val="en-US" w:eastAsia="da-DK"/>
              </w:rPr>
              <w:t>…</w:t>
            </w:r>
            <w:r w:rsidRPr="00C83C91">
              <w:rPr>
                <w:i/>
                <w:iCs/>
                <w:lang w:val="en-US" w:eastAsia="da-DK"/>
              </w:rPr>
              <w:t>]</w:t>
            </w:r>
          </w:p>
          <w:p w14:paraId="1776064B" w14:textId="77777777" w:rsidR="00993E1A" w:rsidRPr="00C83C91" w:rsidRDefault="00993E1A" w:rsidP="00993E1A">
            <w:pPr>
              <w:rPr>
                <w:i/>
                <w:iCs/>
                <w:lang w:val="en-US" w:eastAsia="da-DK"/>
              </w:rPr>
            </w:pPr>
          </w:p>
          <w:p w14:paraId="07995C22" w14:textId="6B51F695" w:rsidR="00993E1A" w:rsidRPr="001C19E7" w:rsidRDefault="00993E1A" w:rsidP="00993E1A">
            <w:pPr>
              <w:rPr>
                <w:i/>
                <w:iCs/>
                <w:lang w:val="en-US" w:eastAsia="da-DK"/>
              </w:rPr>
            </w:pPr>
            <w:r w:rsidRPr="001C19E7">
              <w:rPr>
                <w:i/>
                <w:iCs/>
                <w:lang w:val="en-US" w:eastAsia="da-DK"/>
              </w:rPr>
              <w:t>Access to Customer Data is also logged and monitored by Microsoft. Microsoft performs regular audits to review and confirm that access management measures are working in accordance with policy requirements, including Microsoft's contractual commitments.”</w:t>
            </w:r>
          </w:p>
          <w:p w14:paraId="5B866CAE" w14:textId="77777777" w:rsidR="0036440D" w:rsidRPr="001C19E7" w:rsidRDefault="0036440D" w:rsidP="00C83C91">
            <w:pPr>
              <w:rPr>
                <w:i/>
                <w:iCs/>
                <w:lang w:val="en-US" w:eastAsia="da-DK"/>
              </w:rPr>
            </w:pPr>
          </w:p>
          <w:p w14:paraId="5F266224" w14:textId="5283AAB2" w:rsidR="0036440D" w:rsidRPr="00DC4F35" w:rsidRDefault="00993E1A" w:rsidP="00C83C91">
            <w:pPr>
              <w:rPr>
                <w:rFonts w:cs="Segoe UI"/>
                <w:color w:val="161616"/>
                <w:shd w:val="clear" w:color="auto" w:fill="FFFFFF"/>
              </w:rPr>
            </w:pPr>
            <w:r w:rsidRPr="00DC4F35">
              <w:rPr>
                <w:lang w:eastAsia="da-DK"/>
              </w:rPr>
              <w:t xml:space="preserve">Videre fremgår følgende om beskyttelsen af </w:t>
            </w:r>
            <w:proofErr w:type="spellStart"/>
            <w:r w:rsidRPr="00DC4F35">
              <w:rPr>
                <w:lang w:eastAsia="da-DK"/>
              </w:rPr>
              <w:t>pseudonymiserede</w:t>
            </w:r>
            <w:proofErr w:type="spellEnd"/>
            <w:r w:rsidRPr="00DC4F35">
              <w:rPr>
                <w:lang w:eastAsia="da-DK"/>
              </w:rPr>
              <w:t xml:space="preserve"> personoplysninger:</w:t>
            </w:r>
          </w:p>
          <w:p w14:paraId="5E8FF431" w14:textId="77777777" w:rsidR="0036440D" w:rsidRPr="00DC4F35" w:rsidRDefault="0036440D" w:rsidP="00C83C91">
            <w:pPr>
              <w:rPr>
                <w:i/>
                <w:iCs/>
                <w:lang w:eastAsia="da-DK"/>
              </w:rPr>
            </w:pPr>
          </w:p>
          <w:p w14:paraId="26FF7AA0" w14:textId="43F52BF1" w:rsidR="008F249B" w:rsidRPr="001C19E7" w:rsidRDefault="00D5091C" w:rsidP="008F249B">
            <w:pPr>
              <w:rPr>
                <w:i/>
                <w:iCs/>
                <w:lang w:val="en-US" w:eastAsia="da-DK"/>
              </w:rPr>
            </w:pPr>
            <w:r w:rsidRPr="001C19E7">
              <w:rPr>
                <w:i/>
                <w:iCs/>
                <w:lang w:val="en-US" w:eastAsia="da-DK"/>
              </w:rPr>
              <w:t>“</w:t>
            </w:r>
            <w:r w:rsidR="008F249B" w:rsidRPr="001C19E7">
              <w:rPr>
                <w:i/>
                <w:iCs/>
                <w:lang w:val="en-US" w:eastAsia="da-DK"/>
              </w:rPr>
              <w:t>Currently, to access pseudonymized personal data stored in the EU Data Boundary, Microsoft personnel may use either a SAW or a virtual desktop infrastructure (VDI). The SAW-specific security measures described in the preceding section also apply when using a SAW to access pseudonymized personal data. When using a VDI to access pseudonymized personal data in the EU Data Boundary, Microsoft enforces access limitations to provide a secure environment for data access. As with SAWs, the list of utilities that are allowed on the VDIs are limited and are subject to rigorous security tests before being certified to run on the VDIs. When a VDI is used, pseudonymized personal data in the EU Data Boundary is accessed through virtual machines that are hosted on a physical machine located in the EU Data Boundary and no data persists outside of the EU Data Boundary.</w:t>
            </w:r>
          </w:p>
          <w:p w14:paraId="48BC2D86" w14:textId="77777777" w:rsidR="008F249B" w:rsidRPr="001C19E7" w:rsidRDefault="008F249B" w:rsidP="008F249B">
            <w:pPr>
              <w:rPr>
                <w:i/>
                <w:iCs/>
                <w:lang w:val="en-US" w:eastAsia="da-DK"/>
              </w:rPr>
            </w:pPr>
          </w:p>
          <w:p w14:paraId="5397D1F8" w14:textId="5188C6E4" w:rsidR="0036440D" w:rsidRPr="001C19E7" w:rsidRDefault="008F249B" w:rsidP="008F249B">
            <w:pPr>
              <w:rPr>
                <w:i/>
                <w:iCs/>
                <w:lang w:val="en-US" w:eastAsia="da-DK"/>
              </w:rPr>
            </w:pPr>
            <w:r w:rsidRPr="001C19E7">
              <w:rPr>
                <w:i/>
                <w:iCs/>
                <w:lang w:val="en-US" w:eastAsia="da-DK"/>
              </w:rPr>
              <w:t xml:space="preserve">Per our standard policies, bulk transfers of data outside the EU Data Boundary are prohibited, and VDI users can only access preapproved URL destinations. In </w:t>
            </w:r>
            <w:r w:rsidRPr="001C19E7">
              <w:rPr>
                <w:i/>
                <w:iCs/>
                <w:lang w:val="en-US" w:eastAsia="da-DK"/>
              </w:rPr>
              <w:lastRenderedPageBreak/>
              <w:t>addition, Microsoft personnel who use the VDI environment do not have administrative access to the physical machines located in the EU Data Boundary.</w:t>
            </w:r>
            <w:r w:rsidR="0036440D" w:rsidRPr="001C19E7">
              <w:rPr>
                <w:i/>
                <w:iCs/>
                <w:lang w:val="en-US" w:eastAsia="da-DK"/>
              </w:rPr>
              <w:t>”</w:t>
            </w:r>
          </w:p>
        </w:tc>
      </w:tr>
      <w:tr w:rsidR="00775D19" w:rsidRPr="00D87AC5" w14:paraId="7422FD37" w14:textId="77777777" w:rsidTr="00C83C91">
        <w:trPr>
          <w:trHeight w:val="1563"/>
        </w:trPr>
        <w:tc>
          <w:tcPr>
            <w:tcW w:w="2122" w:type="dxa"/>
          </w:tcPr>
          <w:p w14:paraId="0EA71A00" w14:textId="47F1ECC5" w:rsidR="00775D19" w:rsidRPr="00DC4F35" w:rsidRDefault="00775D19" w:rsidP="00775D19">
            <w:pPr>
              <w:rPr>
                <w:lang w:eastAsia="da-DK"/>
              </w:rPr>
            </w:pPr>
            <w:proofErr w:type="spellStart"/>
            <w:r w:rsidRPr="00DC4F35">
              <w:lastRenderedPageBreak/>
              <w:t>Protecting</w:t>
            </w:r>
            <w:proofErr w:type="spellEnd"/>
            <w:r w:rsidRPr="00DC4F35">
              <w:t xml:space="preserve"> </w:t>
            </w:r>
            <w:proofErr w:type="spellStart"/>
            <w:r w:rsidRPr="00DC4F35">
              <w:t>customers</w:t>
            </w:r>
            <w:proofErr w:type="spellEnd"/>
            <w:r w:rsidRPr="00DC4F35">
              <w:t xml:space="preserve"> (både fjernadgang og fysisk overførsel)</w:t>
            </w:r>
          </w:p>
        </w:tc>
        <w:tc>
          <w:tcPr>
            <w:tcW w:w="7654" w:type="dxa"/>
          </w:tcPr>
          <w:p w14:paraId="529647AB" w14:textId="219A7037" w:rsidR="00775D19" w:rsidRPr="00DC4F35" w:rsidRDefault="00775D19" w:rsidP="00775D19">
            <w:pPr>
              <w:rPr>
                <w:rFonts w:cstheme="minorHAnsi"/>
              </w:rPr>
            </w:pPr>
            <w:r w:rsidRPr="00DC4F35">
              <w:rPr>
                <w:rFonts w:cstheme="minorHAnsi"/>
                <w:iCs/>
              </w:rPr>
              <w:t xml:space="preserve">Microsoft </w:t>
            </w:r>
            <w:r w:rsidR="00517EF7" w:rsidRPr="00DC4F35">
              <w:rPr>
                <w:rFonts w:cstheme="minorHAnsi"/>
                <w:iCs/>
              </w:rPr>
              <w:t xml:space="preserve">Ireland </w:t>
            </w:r>
            <w:r w:rsidRPr="00DC4F35">
              <w:rPr>
                <w:rFonts w:cstheme="minorHAnsi"/>
                <w:iCs/>
              </w:rPr>
              <w:t>beskriver nødvendigheden af overførs</w:t>
            </w:r>
            <w:r w:rsidR="00456EAE" w:rsidRPr="00DC4F35">
              <w:rPr>
                <w:rFonts w:cstheme="minorHAnsi"/>
                <w:iCs/>
              </w:rPr>
              <w:t>ler</w:t>
            </w:r>
            <w:r w:rsidRPr="00DC4F35">
              <w:rPr>
                <w:rFonts w:cstheme="minorHAnsi"/>
                <w:iCs/>
              </w:rPr>
              <w:t xml:space="preserve"> på følgende måde i </w:t>
            </w:r>
            <w:r w:rsidRPr="00DC4F35">
              <w:t xml:space="preserve">EU Data </w:t>
            </w:r>
            <w:proofErr w:type="spellStart"/>
            <w:r w:rsidRPr="00DC4F35">
              <w:t>Boundary</w:t>
            </w:r>
            <w:proofErr w:type="spellEnd"/>
            <w:r w:rsidRPr="00DC4F35">
              <w:t xml:space="preserve"> </w:t>
            </w:r>
            <w:r w:rsidRPr="00DC4F35">
              <w:rPr>
                <w:rFonts w:cstheme="minorHAnsi"/>
              </w:rPr>
              <w:t>dokumentation:</w:t>
            </w:r>
          </w:p>
          <w:p w14:paraId="6A484AA7" w14:textId="77777777" w:rsidR="00775D19" w:rsidRPr="00DC4F35" w:rsidRDefault="00775D19" w:rsidP="00775D19">
            <w:pPr>
              <w:rPr>
                <w:rFonts w:cstheme="minorHAnsi"/>
              </w:rPr>
            </w:pPr>
          </w:p>
          <w:p w14:paraId="37A92BA2" w14:textId="498A602F" w:rsidR="000172C0" w:rsidRPr="001C19E7" w:rsidRDefault="00775D19" w:rsidP="000172C0">
            <w:pPr>
              <w:rPr>
                <w:rFonts w:cstheme="minorHAnsi"/>
                <w:i/>
                <w:iCs/>
                <w:lang w:val="en-US"/>
              </w:rPr>
            </w:pPr>
            <w:r w:rsidRPr="001C19E7">
              <w:rPr>
                <w:rFonts w:cstheme="minorHAnsi"/>
                <w:i/>
                <w:iCs/>
                <w:lang w:val="en-US"/>
              </w:rPr>
              <w:t>“</w:t>
            </w:r>
            <w:r w:rsidR="000172C0" w:rsidRPr="001C19E7">
              <w:rPr>
                <w:rFonts w:cstheme="minorHAnsi"/>
                <w:i/>
                <w:iCs/>
                <w:lang w:val="en-US"/>
              </w:rPr>
              <w:t>To protect against global cybersecurity threats, Microsoft must run security operations globally. To do this, Microsoft transfers (as detailed in Security Operations) limited pseudonymized personal data outside of the EU Data Boundary and, in rare situations, limited Customer Data. Malicious actors are operating globally, launching geo distributed attacks, using coordinated stealth, and evading detection. Analyzing contextual threat data across geo boundaries allows Microsoft security services to protect customers by providing high quality, automated security detections, protections, and response.</w:t>
            </w:r>
          </w:p>
          <w:p w14:paraId="6CA18CD9" w14:textId="77777777" w:rsidR="000172C0" w:rsidRPr="001C19E7" w:rsidRDefault="000172C0" w:rsidP="000172C0">
            <w:pPr>
              <w:rPr>
                <w:rFonts w:cstheme="minorHAnsi"/>
                <w:i/>
                <w:iCs/>
                <w:lang w:val="en-US"/>
              </w:rPr>
            </w:pPr>
          </w:p>
          <w:p w14:paraId="7264D935" w14:textId="4E41EA62" w:rsidR="00775D19" w:rsidRPr="001C19E7" w:rsidRDefault="000172C0" w:rsidP="000172C0">
            <w:pPr>
              <w:rPr>
                <w:rFonts w:cstheme="minorHAnsi"/>
                <w:i/>
                <w:iCs/>
                <w:lang w:val="en-US"/>
              </w:rPr>
            </w:pPr>
            <w:r w:rsidRPr="001C19E7">
              <w:rPr>
                <w:rFonts w:cstheme="minorHAnsi"/>
                <w:i/>
                <w:iCs/>
                <w:lang w:val="en-US"/>
              </w:rPr>
              <w:t>The results of this cross-boundary analysis feed multiple protection scenarios, including alerting customers of malicious activity, attacks, or attempted breaches.</w:t>
            </w:r>
            <w:r w:rsidR="00D5091C" w:rsidRPr="001C19E7">
              <w:rPr>
                <w:rFonts w:cstheme="minorHAnsi"/>
                <w:i/>
                <w:iCs/>
                <w:lang w:val="en-US"/>
              </w:rPr>
              <w:t>”</w:t>
            </w:r>
            <w:r w:rsidRPr="001C19E7">
              <w:rPr>
                <w:rFonts w:cstheme="minorHAnsi"/>
                <w:i/>
                <w:iCs/>
                <w:lang w:val="en-US"/>
              </w:rPr>
              <w:cr/>
            </w:r>
          </w:p>
          <w:p w14:paraId="5F9E46DF" w14:textId="77777777" w:rsidR="000172C0" w:rsidRPr="00DC4F35" w:rsidRDefault="000172C0" w:rsidP="000172C0">
            <w:pPr>
              <w:rPr>
                <w:rFonts w:cs="Segoe UI"/>
                <w:color w:val="161616"/>
                <w:shd w:val="clear" w:color="auto" w:fill="FFFFFF"/>
              </w:rPr>
            </w:pPr>
            <w:r w:rsidRPr="00DC4F35">
              <w:rPr>
                <w:lang w:eastAsia="da-DK"/>
              </w:rPr>
              <w:t xml:space="preserve">Videre fremgår følgende om beskyttelsen af </w:t>
            </w:r>
            <w:proofErr w:type="spellStart"/>
            <w:r w:rsidRPr="00DC4F35">
              <w:rPr>
                <w:lang w:eastAsia="da-DK"/>
              </w:rPr>
              <w:t>pseudonymiserede</w:t>
            </w:r>
            <w:proofErr w:type="spellEnd"/>
            <w:r w:rsidRPr="00DC4F35">
              <w:rPr>
                <w:lang w:eastAsia="da-DK"/>
              </w:rPr>
              <w:t xml:space="preserve"> personoplysninger:</w:t>
            </w:r>
          </w:p>
          <w:p w14:paraId="5584B846" w14:textId="77777777" w:rsidR="000172C0" w:rsidRPr="00DC4F35" w:rsidRDefault="000172C0" w:rsidP="000172C0">
            <w:pPr>
              <w:rPr>
                <w:rFonts w:cstheme="minorHAnsi"/>
                <w:i/>
                <w:iCs/>
              </w:rPr>
            </w:pPr>
          </w:p>
          <w:p w14:paraId="000CE69D" w14:textId="0AC6A42B" w:rsidR="000172C0" w:rsidRPr="001C19E7" w:rsidRDefault="000172C0" w:rsidP="000172C0">
            <w:pPr>
              <w:rPr>
                <w:rFonts w:cstheme="minorHAnsi"/>
                <w:i/>
                <w:iCs/>
                <w:lang w:val="en-US"/>
              </w:rPr>
            </w:pPr>
            <w:r w:rsidRPr="001C19E7">
              <w:rPr>
                <w:rFonts w:cstheme="minorHAnsi"/>
                <w:i/>
                <w:iCs/>
                <w:lang w:val="en-US"/>
              </w:rPr>
              <w:t>“Access to the limited Customer Data and pseudonymized personal data transferred out of the EU for security operations is restricted to Microsoft security personnel, and the usage is restricted to security purposes, including detecting, investigating, mitigating, and responding to security incidents.</w:t>
            </w:r>
          </w:p>
          <w:p w14:paraId="4074126E" w14:textId="77777777" w:rsidR="00930F38" w:rsidRPr="001C19E7" w:rsidRDefault="00930F38" w:rsidP="000172C0">
            <w:pPr>
              <w:rPr>
                <w:rFonts w:cstheme="minorHAnsi"/>
                <w:i/>
                <w:iCs/>
                <w:lang w:val="en-US"/>
              </w:rPr>
            </w:pPr>
          </w:p>
          <w:p w14:paraId="0714B8AF" w14:textId="4EE437B9" w:rsidR="00930F38" w:rsidRPr="00C83C91" w:rsidRDefault="00930F38" w:rsidP="000172C0">
            <w:pPr>
              <w:rPr>
                <w:rFonts w:cstheme="minorHAnsi"/>
                <w:i/>
                <w:iCs/>
                <w:lang w:val="en-US"/>
              </w:rPr>
            </w:pPr>
            <w:r w:rsidRPr="00C83C91">
              <w:rPr>
                <w:rFonts w:cstheme="minorHAnsi"/>
                <w:i/>
                <w:iCs/>
                <w:lang w:val="en-US"/>
              </w:rPr>
              <w:t>[…]</w:t>
            </w:r>
          </w:p>
          <w:p w14:paraId="7670A821" w14:textId="77777777" w:rsidR="00930F38" w:rsidRPr="00C83C91" w:rsidRDefault="00930F38" w:rsidP="000172C0">
            <w:pPr>
              <w:rPr>
                <w:rFonts w:cstheme="minorHAnsi"/>
                <w:i/>
                <w:iCs/>
                <w:lang w:val="en-US"/>
              </w:rPr>
            </w:pPr>
          </w:p>
          <w:p w14:paraId="1D9C3491" w14:textId="3C6C4501" w:rsidR="00930F38" w:rsidRPr="001C19E7" w:rsidRDefault="00930F38" w:rsidP="00930F38">
            <w:pPr>
              <w:rPr>
                <w:rFonts w:cstheme="minorHAnsi"/>
                <w:i/>
                <w:iCs/>
                <w:lang w:val="en-US"/>
              </w:rPr>
            </w:pPr>
            <w:r w:rsidRPr="001C19E7">
              <w:rPr>
                <w:rFonts w:cstheme="minorHAnsi"/>
                <w:i/>
                <w:iCs/>
                <w:lang w:val="en-US"/>
              </w:rPr>
              <w:t>To minimize the privacy impact of this work, Microsoft's security threat hunter teams limit ongoing transfers to system-generated logs and service configuration information necessary to detect and investigate early indicators of malicious activity or breach. This pseudonymized data is consolidated and stored primarily in the United States but may include other data center regions worldwide for threat detection work as described previously. Pseudonymized personal data is trans</w:t>
            </w:r>
            <w:r w:rsidRPr="001C19E7">
              <w:rPr>
                <w:rFonts w:cstheme="minorHAnsi"/>
                <w:i/>
                <w:iCs/>
                <w:lang w:val="en-US"/>
              </w:rPr>
              <w:lastRenderedPageBreak/>
              <w:t>ferred and protected in accordance with the terms of the DPA and applicable contractual commitments. In the rare instances where Customer Data is accessed or transferred as a result of security investigation, it is done so through elevated approvals and controls.”</w:t>
            </w:r>
          </w:p>
          <w:p w14:paraId="21EDBFB7" w14:textId="77777777" w:rsidR="00775D19" w:rsidRPr="001C19E7" w:rsidRDefault="00775D19" w:rsidP="00775D19">
            <w:pPr>
              <w:rPr>
                <w:rFonts w:cstheme="minorHAnsi"/>
                <w:lang w:val="en-US"/>
              </w:rPr>
            </w:pPr>
          </w:p>
          <w:p w14:paraId="4CC3D3E9" w14:textId="17718E5D" w:rsidR="00930F38" w:rsidRPr="00DC4F35" w:rsidRDefault="00930F38" w:rsidP="00775D19">
            <w:pPr>
              <w:rPr>
                <w:rFonts w:cstheme="minorHAnsi"/>
                <w:iCs/>
              </w:rPr>
            </w:pPr>
            <w:r w:rsidRPr="00DC4F35">
              <w:rPr>
                <w:rFonts w:cstheme="minorHAnsi"/>
                <w:iCs/>
              </w:rPr>
              <w:t xml:space="preserve">Nødvendigheden er desuden uddybet yderligere under ”Security Operations”, hvoraf </w:t>
            </w:r>
            <w:r w:rsidR="00F03F7D" w:rsidRPr="00DC4F35">
              <w:rPr>
                <w:rFonts w:cstheme="minorHAnsi"/>
                <w:iCs/>
              </w:rPr>
              <w:t xml:space="preserve">bl.a. </w:t>
            </w:r>
            <w:r w:rsidRPr="00DC4F35">
              <w:rPr>
                <w:rFonts w:cstheme="minorHAnsi"/>
                <w:iCs/>
              </w:rPr>
              <w:t>følgende fremgår:</w:t>
            </w:r>
          </w:p>
          <w:p w14:paraId="575B8E41" w14:textId="77777777" w:rsidR="00930F38" w:rsidRPr="00DC4F35" w:rsidRDefault="00930F38" w:rsidP="00775D19">
            <w:pPr>
              <w:rPr>
                <w:rFonts w:cstheme="minorHAnsi"/>
                <w:iCs/>
              </w:rPr>
            </w:pPr>
          </w:p>
          <w:p w14:paraId="3F48418C" w14:textId="1CB361DB" w:rsidR="00930F38" w:rsidRPr="00DC4F35" w:rsidRDefault="00F03F7D" w:rsidP="00930F38">
            <w:pPr>
              <w:rPr>
                <w:rFonts w:cstheme="minorHAnsi"/>
                <w:i/>
              </w:rPr>
            </w:pPr>
            <w:r w:rsidRPr="001C19E7">
              <w:rPr>
                <w:rFonts w:cstheme="minorHAnsi"/>
                <w:i/>
                <w:lang w:val="en-US"/>
              </w:rPr>
              <w:t>“</w:t>
            </w:r>
            <w:r w:rsidR="00930F38" w:rsidRPr="001C19E7">
              <w:rPr>
                <w:rFonts w:cstheme="minorHAnsi"/>
                <w:i/>
                <w:lang w:val="en-US"/>
              </w:rPr>
              <w:t xml:space="preserve">Pseudonymized personal data processed for security purposes is transferred to any Azure region worldwide. This enables Microsoft’s security operations, like the Microsoft Security Response Center (MSRC), to provide security services 24 hours a day, 365 days a year in an efficient and effective manner in response to worldwide threats. </w:t>
            </w:r>
            <w:r w:rsidR="00930F38" w:rsidRPr="00DC4F35">
              <w:rPr>
                <w:rFonts w:cstheme="minorHAnsi"/>
                <w:i/>
              </w:rPr>
              <w:t>[…]</w:t>
            </w:r>
          </w:p>
          <w:p w14:paraId="2A325775" w14:textId="77777777" w:rsidR="00F03F7D" w:rsidRPr="00DC4F35" w:rsidRDefault="00F03F7D" w:rsidP="00930F38">
            <w:pPr>
              <w:rPr>
                <w:rFonts w:cstheme="minorHAnsi"/>
                <w:i/>
              </w:rPr>
            </w:pPr>
          </w:p>
          <w:p w14:paraId="68584D8D" w14:textId="601DE549" w:rsidR="00930F38" w:rsidRPr="001C19E7" w:rsidRDefault="00930F38" w:rsidP="00C83C91">
            <w:pPr>
              <w:pStyle w:val="Punktopstilling"/>
              <w:rPr>
                <w:i/>
                <w:iCs/>
                <w:lang w:val="en-US"/>
              </w:rPr>
            </w:pPr>
            <w:r w:rsidRPr="001C19E7">
              <w:rPr>
                <w:i/>
                <w:iCs/>
                <w:lang w:val="en-US"/>
              </w:rPr>
              <w:t>Security analysts access aggregated data from locations around the globe, as MSRC has a follow-the-sun operation model, with distributed expertise and skills to provide continuous monitoring and response for security investigations […]</w:t>
            </w:r>
            <w:r w:rsidR="00F03F7D" w:rsidRPr="001C19E7">
              <w:rPr>
                <w:i/>
                <w:iCs/>
                <w:lang w:val="en-US"/>
              </w:rPr>
              <w:t>”</w:t>
            </w:r>
          </w:p>
          <w:p w14:paraId="0FA70071" w14:textId="1DE94009" w:rsidR="00736D9C" w:rsidRPr="00DC4F35" w:rsidRDefault="00775D19" w:rsidP="00775D19">
            <w:pPr>
              <w:rPr>
                <w:rFonts w:cstheme="minorHAnsi"/>
                <w:iCs/>
              </w:rPr>
            </w:pPr>
            <w:r w:rsidRPr="00DC4F35">
              <w:rPr>
                <w:rFonts w:cstheme="minorHAnsi"/>
                <w:iCs/>
              </w:rPr>
              <w:t xml:space="preserve">Det fremgår </w:t>
            </w:r>
            <w:r w:rsidR="00736D9C" w:rsidRPr="00DC4F35">
              <w:rPr>
                <w:rFonts w:cstheme="minorHAnsi"/>
                <w:iCs/>
              </w:rPr>
              <w:t xml:space="preserve">herefter under ”Security </w:t>
            </w:r>
            <w:proofErr w:type="spellStart"/>
            <w:r w:rsidR="00736D9C" w:rsidRPr="00DC4F35">
              <w:rPr>
                <w:rFonts w:cstheme="minorHAnsi"/>
                <w:iCs/>
              </w:rPr>
              <w:t>Threat</w:t>
            </w:r>
            <w:proofErr w:type="spellEnd"/>
            <w:r w:rsidR="00736D9C" w:rsidRPr="00DC4F35">
              <w:rPr>
                <w:rFonts w:cstheme="minorHAnsi"/>
                <w:iCs/>
              </w:rPr>
              <w:t xml:space="preserve"> Intelligence”, hvordan data samtidig er nødvendig for at kunne blokere et </w:t>
            </w:r>
            <w:proofErr w:type="spellStart"/>
            <w:r w:rsidR="00736D9C" w:rsidRPr="00DC4F35">
              <w:rPr>
                <w:rFonts w:cstheme="minorHAnsi"/>
                <w:iCs/>
              </w:rPr>
              <w:t>cyberangreb</w:t>
            </w:r>
            <w:proofErr w:type="spellEnd"/>
            <w:r w:rsidR="00736D9C" w:rsidRPr="00DC4F35">
              <w:rPr>
                <w:rFonts w:cstheme="minorHAnsi"/>
                <w:iCs/>
              </w:rPr>
              <w:t>:</w:t>
            </w:r>
          </w:p>
          <w:p w14:paraId="1A966573" w14:textId="77777777" w:rsidR="00775D19" w:rsidRPr="00DC4F35" w:rsidRDefault="00775D19" w:rsidP="00775D19">
            <w:pPr>
              <w:rPr>
                <w:rFonts w:cstheme="minorHAnsi"/>
                <w:iCs/>
              </w:rPr>
            </w:pPr>
          </w:p>
          <w:p w14:paraId="00C796B2" w14:textId="10B7AC83" w:rsidR="00736D9C" w:rsidRPr="001C19E7" w:rsidRDefault="00736D9C" w:rsidP="00736D9C">
            <w:pPr>
              <w:rPr>
                <w:rFonts w:cstheme="minorHAnsi"/>
                <w:i/>
                <w:lang w:val="en-US"/>
              </w:rPr>
            </w:pPr>
            <w:r w:rsidRPr="001C19E7">
              <w:rPr>
                <w:rFonts w:cstheme="minorHAnsi"/>
                <w:i/>
                <w:lang w:val="en-US"/>
              </w:rPr>
              <w:t>“This data is used to help block malicious attempts against our customers’ cloud</w:t>
            </w:r>
          </w:p>
          <w:p w14:paraId="0575D36A" w14:textId="5150EB0C" w:rsidR="00736D9C" w:rsidRPr="001C19E7" w:rsidRDefault="00736D9C" w:rsidP="00736D9C">
            <w:pPr>
              <w:rPr>
                <w:rFonts w:cstheme="minorHAnsi"/>
                <w:i/>
                <w:lang w:val="en-US"/>
              </w:rPr>
            </w:pPr>
            <w:r w:rsidRPr="001C19E7">
              <w:rPr>
                <w:rFonts w:cstheme="minorHAnsi"/>
                <w:i/>
                <w:lang w:val="en-US"/>
              </w:rPr>
              <w:t>infrastructures and provide timely threat intelligence and indications of compromise to organizations, helping them to increase their level of protection.</w:t>
            </w:r>
          </w:p>
          <w:p w14:paraId="0623B1F0" w14:textId="77777777" w:rsidR="001012D6" w:rsidRPr="001C19E7" w:rsidRDefault="001012D6" w:rsidP="00736D9C">
            <w:pPr>
              <w:rPr>
                <w:rFonts w:cstheme="minorHAnsi"/>
                <w:i/>
                <w:lang w:val="en-US"/>
              </w:rPr>
            </w:pPr>
          </w:p>
          <w:p w14:paraId="6F362CC4" w14:textId="52C36422" w:rsidR="001012D6" w:rsidRPr="001C19E7" w:rsidRDefault="001012D6" w:rsidP="00736D9C">
            <w:pPr>
              <w:rPr>
                <w:rFonts w:cstheme="minorHAnsi"/>
                <w:i/>
                <w:lang w:val="en-US"/>
              </w:rPr>
            </w:pPr>
            <w:r w:rsidRPr="001C19E7">
              <w:rPr>
                <w:rFonts w:cstheme="minorHAnsi"/>
                <w:i/>
                <w:lang w:val="en-US"/>
              </w:rPr>
              <w:t>[…]</w:t>
            </w:r>
          </w:p>
          <w:p w14:paraId="76910BA1" w14:textId="77777777" w:rsidR="001012D6" w:rsidRPr="001C19E7" w:rsidRDefault="001012D6" w:rsidP="00736D9C">
            <w:pPr>
              <w:rPr>
                <w:rFonts w:cstheme="minorHAnsi"/>
                <w:i/>
                <w:lang w:val="en-US"/>
              </w:rPr>
            </w:pPr>
          </w:p>
          <w:p w14:paraId="36828EB5" w14:textId="7B3C10F7" w:rsidR="001012D6" w:rsidRPr="001C19E7" w:rsidRDefault="001012D6" w:rsidP="001012D6">
            <w:pPr>
              <w:rPr>
                <w:rFonts w:cstheme="minorHAnsi"/>
                <w:i/>
                <w:lang w:val="en-US"/>
              </w:rPr>
            </w:pPr>
            <w:r w:rsidRPr="001C19E7">
              <w:rPr>
                <w:rFonts w:cstheme="minorHAnsi"/>
                <w:i/>
                <w:lang w:val="en-US"/>
              </w:rPr>
              <w:t>MSTIC can identify malicious activity through globally consolidated system-generated logs and diagnostic data collected from various Microsoft products and services, in conjunction with expert analysis by MSTIC personnel.</w:t>
            </w:r>
          </w:p>
          <w:p w14:paraId="48C2E518" w14:textId="77777777" w:rsidR="00F80A80" w:rsidRPr="001C19E7" w:rsidRDefault="00F80A80" w:rsidP="001012D6">
            <w:pPr>
              <w:rPr>
                <w:rFonts w:cstheme="minorHAnsi"/>
                <w:i/>
                <w:lang w:val="en-US"/>
              </w:rPr>
            </w:pPr>
          </w:p>
          <w:p w14:paraId="3F947CD4" w14:textId="2EFB38CB" w:rsidR="00F80A80" w:rsidRPr="001C19E7" w:rsidRDefault="00F80A80" w:rsidP="001012D6">
            <w:pPr>
              <w:rPr>
                <w:rFonts w:cstheme="minorHAnsi"/>
                <w:i/>
                <w:lang w:val="en-US"/>
              </w:rPr>
            </w:pPr>
            <w:r w:rsidRPr="001C19E7">
              <w:rPr>
                <w:rFonts w:cstheme="minorHAnsi"/>
                <w:i/>
                <w:lang w:val="en-US"/>
              </w:rPr>
              <w:t>[…]</w:t>
            </w:r>
          </w:p>
          <w:p w14:paraId="04EAAC22" w14:textId="77777777" w:rsidR="00F80A80" w:rsidRPr="001C19E7" w:rsidRDefault="00F80A80" w:rsidP="001012D6">
            <w:pPr>
              <w:rPr>
                <w:rFonts w:cstheme="minorHAnsi"/>
                <w:i/>
                <w:lang w:val="en-US"/>
              </w:rPr>
            </w:pPr>
          </w:p>
          <w:p w14:paraId="08B71EBD" w14:textId="3CCFBBAF" w:rsidR="00775D19" w:rsidRPr="001C19E7" w:rsidRDefault="00F80A80" w:rsidP="00517EF7">
            <w:pPr>
              <w:rPr>
                <w:lang w:val="en-US" w:eastAsia="da-DK"/>
              </w:rPr>
            </w:pPr>
            <w:r w:rsidRPr="001C19E7">
              <w:rPr>
                <w:rFonts w:cstheme="minorHAnsi"/>
                <w:i/>
                <w:lang w:val="en-US"/>
              </w:rPr>
              <w:t xml:space="preserve">Access by geographically dispersed analyst teams to globally consolidated system-generated logs for security purposes is critically important to timely identification of an attack or breach, providing a non-interrupted investigation. MSTIC analysts possess specific attacker knowledge and skills that cannot simply be replicated in </w:t>
            </w:r>
            <w:r w:rsidRPr="001C19E7">
              <w:rPr>
                <w:rFonts w:cstheme="minorHAnsi"/>
                <w:i/>
                <w:lang w:val="en-US"/>
              </w:rPr>
              <w:lastRenderedPageBreak/>
              <w:t>other regions as they may have specific regional adversary expertise. As a result, MSTIC analysis operations necessarily cross geopolitical boundaries to provide customers with the highest level of expertise.”</w:t>
            </w:r>
          </w:p>
        </w:tc>
      </w:tr>
      <w:tr w:rsidR="00775D19" w:rsidRPr="00DC4F35" w14:paraId="44681C1C" w14:textId="77777777" w:rsidTr="00C83C91">
        <w:trPr>
          <w:trHeight w:val="937"/>
        </w:trPr>
        <w:tc>
          <w:tcPr>
            <w:tcW w:w="2122" w:type="dxa"/>
          </w:tcPr>
          <w:p w14:paraId="7D592EE6" w14:textId="59B4D48C" w:rsidR="00775D19" w:rsidRPr="001C19E7" w:rsidRDefault="00775D19" w:rsidP="00775D19">
            <w:pPr>
              <w:rPr>
                <w:lang w:val="en-US" w:eastAsia="da-DK"/>
              </w:rPr>
            </w:pPr>
            <w:r w:rsidRPr="001C19E7">
              <w:rPr>
                <w:lang w:val="en-US"/>
              </w:rPr>
              <w:lastRenderedPageBreak/>
              <w:t>Fulfilling GDPR data subject rights requests</w:t>
            </w:r>
          </w:p>
        </w:tc>
        <w:tc>
          <w:tcPr>
            <w:tcW w:w="7654" w:type="dxa"/>
          </w:tcPr>
          <w:p w14:paraId="4ED141BF" w14:textId="4C880B6D" w:rsidR="00775D19" w:rsidRPr="00DC4F35" w:rsidRDefault="00775D19" w:rsidP="00775D19">
            <w:pPr>
              <w:rPr>
                <w:rFonts w:cstheme="minorHAnsi"/>
              </w:rPr>
            </w:pPr>
            <w:r w:rsidRPr="00DC4F35">
              <w:rPr>
                <w:rFonts w:cstheme="minorHAnsi"/>
                <w:iCs/>
              </w:rPr>
              <w:t xml:space="preserve">Microsoft </w:t>
            </w:r>
            <w:r w:rsidR="00461973" w:rsidRPr="00DC4F35">
              <w:rPr>
                <w:rFonts w:cstheme="minorHAnsi"/>
                <w:iCs/>
              </w:rPr>
              <w:t xml:space="preserve">Ireland </w:t>
            </w:r>
            <w:r w:rsidRPr="00DC4F35">
              <w:rPr>
                <w:rFonts w:cstheme="minorHAnsi"/>
                <w:iCs/>
              </w:rPr>
              <w:t xml:space="preserve">beskriver nødvendigheden af overførslen på følgende måde i </w:t>
            </w:r>
            <w:r w:rsidRPr="00DC4F35">
              <w:t xml:space="preserve">EU Data </w:t>
            </w:r>
            <w:proofErr w:type="spellStart"/>
            <w:r w:rsidRPr="00DC4F35">
              <w:t>Boundary</w:t>
            </w:r>
            <w:proofErr w:type="spellEnd"/>
            <w:r w:rsidRPr="00DC4F35">
              <w:rPr>
                <w:rFonts w:cstheme="minorHAnsi"/>
              </w:rPr>
              <w:t xml:space="preserve"> dokumentation</w:t>
            </w:r>
            <w:r w:rsidR="00461973" w:rsidRPr="00DC4F35">
              <w:rPr>
                <w:rFonts w:cstheme="minorHAnsi"/>
              </w:rPr>
              <w:t>en</w:t>
            </w:r>
            <w:r w:rsidRPr="00DC4F35">
              <w:rPr>
                <w:rFonts w:cstheme="minorHAnsi"/>
              </w:rPr>
              <w:t>:</w:t>
            </w:r>
          </w:p>
          <w:p w14:paraId="4CD423B6" w14:textId="77777777" w:rsidR="00775D19" w:rsidRPr="00DC4F35" w:rsidRDefault="00775D19" w:rsidP="00775D19">
            <w:pPr>
              <w:rPr>
                <w:lang w:eastAsia="da-DK"/>
              </w:rPr>
            </w:pPr>
          </w:p>
          <w:p w14:paraId="7D8B46BB" w14:textId="5C4E2B71" w:rsidR="00775D19" w:rsidRPr="001C19E7" w:rsidRDefault="003C75DA" w:rsidP="003C75DA">
            <w:pPr>
              <w:rPr>
                <w:i/>
                <w:iCs/>
                <w:lang w:val="en-US" w:eastAsia="da-DK"/>
              </w:rPr>
            </w:pPr>
            <w:r w:rsidRPr="001C19E7">
              <w:rPr>
                <w:i/>
                <w:iCs/>
                <w:lang w:val="en-US" w:eastAsia="da-DK"/>
              </w:rPr>
              <w:t>“Microsoft has implemented systems to enable our customers to respond to data subject rights requests (DSRs) under the General Data Protection Regulation (GDPR) (for example, to delete personal data in response to a request under Article 17 of the GDPR) as customers determine is appropriate, and these systems are available to customers worldwide. To enable our customers to maintain GDPR compliance, DSR signals that include user identifiers must be processed globally to ensure that all data related to a data subject is deleted or exported as requested. When our customer determines data deletion is appropriate in response to a data subject requesting that their personal data be deleted, all personal data related to that data subject must be located and deleted from all of Microsoft's data stores, both within and outside of the EU Data Boundary.</w:t>
            </w:r>
          </w:p>
          <w:p w14:paraId="0FCF9B6B" w14:textId="77777777" w:rsidR="003C75DA" w:rsidRPr="001C19E7" w:rsidRDefault="003C75DA" w:rsidP="003C75DA">
            <w:pPr>
              <w:rPr>
                <w:i/>
                <w:iCs/>
                <w:lang w:val="en-US" w:eastAsia="da-DK"/>
              </w:rPr>
            </w:pPr>
          </w:p>
          <w:p w14:paraId="2D54AB77" w14:textId="069CC8FD" w:rsidR="003C75DA" w:rsidRPr="001C19E7" w:rsidRDefault="003C75DA" w:rsidP="003C75DA">
            <w:pPr>
              <w:rPr>
                <w:i/>
                <w:iCs/>
                <w:lang w:val="en-US" w:eastAsia="da-DK"/>
              </w:rPr>
            </w:pPr>
            <w:r w:rsidRPr="001C19E7">
              <w:rPr>
                <w:i/>
                <w:iCs/>
                <w:lang w:val="en-US" w:eastAsia="da-DK"/>
              </w:rPr>
              <w:t>Similarly, when an export request is submitted by a customer administrator, Microsoft must export to the storage location specified by the customer admin, even if outside the EU Data Boundary, all the personal data about that data subject.”</w:t>
            </w:r>
          </w:p>
          <w:p w14:paraId="31F6B991" w14:textId="77777777" w:rsidR="003C75DA" w:rsidRPr="001C19E7" w:rsidRDefault="003C75DA" w:rsidP="003C75DA">
            <w:pPr>
              <w:rPr>
                <w:lang w:val="en-US" w:eastAsia="da-DK"/>
              </w:rPr>
            </w:pPr>
          </w:p>
          <w:p w14:paraId="6B170D92" w14:textId="77777777" w:rsidR="00D61B00" w:rsidRDefault="00775D19" w:rsidP="00775D19">
            <w:pPr>
              <w:rPr>
                <w:rFonts w:cstheme="minorHAnsi"/>
              </w:rPr>
            </w:pPr>
            <w:r w:rsidRPr="00DC4F35">
              <w:rPr>
                <w:rFonts w:cstheme="minorHAnsi"/>
                <w:iCs/>
              </w:rPr>
              <w:t xml:space="preserve">Det fremgår ikke eksplicit af </w:t>
            </w:r>
            <w:r w:rsidRPr="00DC4F35">
              <w:t xml:space="preserve">EU Data </w:t>
            </w:r>
            <w:proofErr w:type="spellStart"/>
            <w:r w:rsidRPr="00DC4F35">
              <w:t>Boundary</w:t>
            </w:r>
            <w:proofErr w:type="spellEnd"/>
            <w:r w:rsidRPr="00DC4F35">
              <w:t xml:space="preserve"> </w:t>
            </w:r>
            <w:r w:rsidRPr="00DC4F35">
              <w:rPr>
                <w:rFonts w:cstheme="minorHAnsi"/>
              </w:rPr>
              <w:t>dokumentation</w:t>
            </w:r>
            <w:r w:rsidR="0081565A" w:rsidRPr="00DC4F35">
              <w:rPr>
                <w:rFonts w:cstheme="minorHAnsi"/>
              </w:rPr>
              <w:t>en</w:t>
            </w:r>
            <w:r w:rsidRPr="00DC4F35">
              <w:rPr>
                <w:rFonts w:cstheme="minorHAnsi"/>
                <w:iCs/>
              </w:rPr>
              <w:t xml:space="preserve">, hvordan Microsoft </w:t>
            </w:r>
            <w:r w:rsidR="0081565A" w:rsidRPr="00DC4F35">
              <w:rPr>
                <w:rFonts w:cstheme="minorHAnsi"/>
                <w:iCs/>
              </w:rPr>
              <w:t xml:space="preserve">Ireland </w:t>
            </w:r>
            <w:r w:rsidRPr="00DC4F35">
              <w:rPr>
                <w:rFonts w:cstheme="minorHAnsi"/>
                <w:iCs/>
              </w:rPr>
              <w:t xml:space="preserve">vil minimere omfanget af overførslen. Det kan på baggrund af ovenstående dog udledes, at overførslen begrænser sig til </w:t>
            </w:r>
            <w:r w:rsidRPr="00DC4F35">
              <w:rPr>
                <w:rFonts w:cstheme="minorHAnsi"/>
              </w:rPr>
              <w:t xml:space="preserve">”Data </w:t>
            </w:r>
            <w:proofErr w:type="spellStart"/>
            <w:r w:rsidRPr="00DC4F35">
              <w:rPr>
                <w:rFonts w:cstheme="minorHAnsi"/>
              </w:rPr>
              <w:t>subject</w:t>
            </w:r>
            <w:proofErr w:type="spellEnd"/>
            <w:r w:rsidRPr="00DC4F35">
              <w:rPr>
                <w:rFonts w:cstheme="minorHAnsi"/>
              </w:rPr>
              <w:t xml:space="preserve"> </w:t>
            </w:r>
            <w:proofErr w:type="spellStart"/>
            <w:r w:rsidRPr="00DC4F35">
              <w:rPr>
                <w:rFonts w:cstheme="minorHAnsi"/>
              </w:rPr>
              <w:t>rights</w:t>
            </w:r>
            <w:proofErr w:type="spellEnd"/>
            <w:r w:rsidRPr="00DC4F35">
              <w:rPr>
                <w:rFonts w:cstheme="minorHAnsi"/>
              </w:rPr>
              <w:t xml:space="preserve"> signals”, herunder ”user </w:t>
            </w:r>
            <w:proofErr w:type="spellStart"/>
            <w:r w:rsidRPr="00DC4F35">
              <w:rPr>
                <w:rFonts w:cstheme="minorHAnsi"/>
              </w:rPr>
              <w:t>identifiers</w:t>
            </w:r>
            <w:proofErr w:type="spellEnd"/>
            <w:r w:rsidRPr="00DC4F35">
              <w:rPr>
                <w:rFonts w:cstheme="minorHAnsi"/>
              </w:rPr>
              <w:t>”</w:t>
            </w:r>
            <w:r w:rsidR="003C75DA" w:rsidRPr="00DC4F35">
              <w:rPr>
                <w:rFonts w:cstheme="minorHAnsi"/>
              </w:rPr>
              <w:t>, og at der herudover kun overføres ”alle personoplysninger”, når</w:t>
            </w:r>
            <w:r w:rsidR="00D61B00" w:rsidRPr="00DC4F35">
              <w:rPr>
                <w:rFonts w:cstheme="minorHAnsi"/>
              </w:rPr>
              <w:t xml:space="preserve"> kunden selv beder om det.</w:t>
            </w:r>
          </w:p>
          <w:p w14:paraId="2B17A029" w14:textId="0B7BA80E" w:rsidR="00E166E6" w:rsidRPr="00DC4F35" w:rsidRDefault="00E166E6" w:rsidP="00775D19">
            <w:pPr>
              <w:rPr>
                <w:rFonts w:cstheme="minorHAnsi"/>
              </w:rPr>
            </w:pPr>
          </w:p>
        </w:tc>
      </w:tr>
      <w:tr w:rsidR="00775D19" w:rsidRPr="00DC4F35" w14:paraId="72BE251A" w14:textId="77777777" w:rsidTr="00C83C91">
        <w:tc>
          <w:tcPr>
            <w:tcW w:w="2122" w:type="dxa"/>
          </w:tcPr>
          <w:p w14:paraId="16858F55" w14:textId="77777777" w:rsidR="00775D19" w:rsidRPr="00DC4F35" w:rsidRDefault="00775D19" w:rsidP="00775D19">
            <w:r w:rsidRPr="00DC4F35">
              <w:t>Adgangsstyring/log in i tjenester (Directory Data)</w:t>
            </w:r>
          </w:p>
          <w:p w14:paraId="690B487E" w14:textId="42A3872D" w:rsidR="00775D19" w:rsidRPr="00DC4F35" w:rsidRDefault="00775D19" w:rsidP="00775D19">
            <w:pPr>
              <w:rPr>
                <w:lang w:eastAsia="da-DK"/>
              </w:rPr>
            </w:pPr>
          </w:p>
        </w:tc>
        <w:tc>
          <w:tcPr>
            <w:tcW w:w="7654" w:type="dxa"/>
          </w:tcPr>
          <w:p w14:paraId="70E9004F" w14:textId="273B4240" w:rsidR="00775D19" w:rsidRPr="00DC4F35" w:rsidRDefault="00775D19" w:rsidP="00775D19">
            <w:pPr>
              <w:rPr>
                <w:rFonts w:cstheme="minorHAnsi"/>
              </w:rPr>
            </w:pPr>
            <w:r w:rsidRPr="00DC4F35">
              <w:rPr>
                <w:rFonts w:cstheme="minorHAnsi"/>
                <w:iCs/>
              </w:rPr>
              <w:t xml:space="preserve">Microsoft </w:t>
            </w:r>
            <w:r w:rsidR="0081565A" w:rsidRPr="00DC4F35">
              <w:rPr>
                <w:rFonts w:cstheme="minorHAnsi"/>
                <w:iCs/>
              </w:rPr>
              <w:t xml:space="preserve">Ireland </w:t>
            </w:r>
            <w:r w:rsidRPr="00DC4F35">
              <w:rPr>
                <w:rFonts w:cstheme="minorHAnsi"/>
                <w:iCs/>
              </w:rPr>
              <w:t xml:space="preserve">beskriver nødvendigheden af overførslen på følgende måde i </w:t>
            </w:r>
            <w:r w:rsidRPr="00DC4F35">
              <w:t xml:space="preserve">EU Data </w:t>
            </w:r>
            <w:proofErr w:type="spellStart"/>
            <w:r w:rsidRPr="00DC4F35">
              <w:t>Boundary</w:t>
            </w:r>
            <w:proofErr w:type="spellEnd"/>
            <w:r w:rsidRPr="00DC4F35">
              <w:t xml:space="preserve"> </w:t>
            </w:r>
            <w:r w:rsidRPr="00DC4F35">
              <w:rPr>
                <w:rFonts w:cstheme="minorHAnsi"/>
              </w:rPr>
              <w:t>dokumentation</w:t>
            </w:r>
            <w:r w:rsidR="0081565A" w:rsidRPr="00DC4F35">
              <w:rPr>
                <w:rFonts w:cstheme="minorHAnsi"/>
              </w:rPr>
              <w:t>en</w:t>
            </w:r>
            <w:r w:rsidRPr="00DC4F35">
              <w:rPr>
                <w:rFonts w:cstheme="minorHAnsi"/>
              </w:rPr>
              <w:t>:</w:t>
            </w:r>
          </w:p>
          <w:p w14:paraId="35BDBE2D" w14:textId="77777777" w:rsidR="00775D19" w:rsidRPr="00DC4F35" w:rsidRDefault="00775D19" w:rsidP="00775D19">
            <w:pPr>
              <w:rPr>
                <w:rFonts w:cstheme="minorHAnsi"/>
              </w:rPr>
            </w:pPr>
          </w:p>
          <w:p w14:paraId="4B359858" w14:textId="77777777" w:rsidR="00775D19" w:rsidRPr="001C19E7" w:rsidRDefault="00775D19" w:rsidP="00775D19">
            <w:pPr>
              <w:rPr>
                <w:rFonts w:cstheme="minorHAnsi"/>
                <w:lang w:val="en-US"/>
              </w:rPr>
            </w:pPr>
            <w:r w:rsidRPr="001C19E7">
              <w:rPr>
                <w:rFonts w:cstheme="minorHAnsi"/>
                <w:lang w:val="en-US"/>
              </w:rPr>
              <w:t>“</w:t>
            </w:r>
            <w:r w:rsidRPr="001C19E7">
              <w:rPr>
                <w:rFonts w:cstheme="minorHAnsi"/>
                <w:i/>
                <w:iCs/>
                <w:lang w:val="en-US"/>
              </w:rPr>
              <w:t xml:space="preserve">Microsoft may replicate limited Microsoft </w:t>
            </w:r>
            <w:proofErr w:type="spellStart"/>
            <w:r w:rsidRPr="001C19E7">
              <w:rPr>
                <w:rFonts w:cstheme="minorHAnsi"/>
                <w:i/>
                <w:iCs/>
                <w:lang w:val="en-US"/>
              </w:rPr>
              <w:t>Entra</w:t>
            </w:r>
            <w:proofErr w:type="spellEnd"/>
            <w:r w:rsidRPr="001C19E7">
              <w:rPr>
                <w:rFonts w:cstheme="minorHAnsi"/>
                <w:i/>
                <w:iCs/>
                <w:lang w:val="en-US"/>
              </w:rPr>
              <w:t xml:space="preserve"> directory data from Microsoft </w:t>
            </w:r>
            <w:proofErr w:type="spellStart"/>
            <w:r w:rsidRPr="001C19E7">
              <w:rPr>
                <w:rFonts w:cstheme="minorHAnsi"/>
                <w:i/>
                <w:iCs/>
                <w:lang w:val="en-US"/>
              </w:rPr>
              <w:t>Entra</w:t>
            </w:r>
            <w:proofErr w:type="spellEnd"/>
            <w:r w:rsidRPr="001C19E7">
              <w:rPr>
                <w:rFonts w:cstheme="minorHAnsi"/>
                <w:i/>
                <w:iCs/>
                <w:lang w:val="en-US"/>
              </w:rPr>
              <w:t xml:space="preserve"> (including username and email address) outside the EU Data Boundary to provide the service</w:t>
            </w:r>
            <w:r w:rsidRPr="001C19E7">
              <w:rPr>
                <w:rFonts w:cstheme="minorHAnsi"/>
                <w:lang w:val="en-US"/>
              </w:rPr>
              <w:t>.”</w:t>
            </w:r>
          </w:p>
          <w:p w14:paraId="62223332" w14:textId="77777777" w:rsidR="00775D19" w:rsidRPr="001C19E7" w:rsidRDefault="00775D19" w:rsidP="00775D19">
            <w:pPr>
              <w:rPr>
                <w:rFonts w:cstheme="minorHAnsi"/>
                <w:lang w:val="en-US"/>
              </w:rPr>
            </w:pPr>
          </w:p>
          <w:p w14:paraId="5512ED17" w14:textId="0177B147" w:rsidR="00775D19" w:rsidRPr="00DC4F35" w:rsidRDefault="00775D19" w:rsidP="00775D19">
            <w:pPr>
              <w:rPr>
                <w:rFonts w:cstheme="minorHAnsi"/>
                <w:iCs/>
              </w:rPr>
            </w:pPr>
            <w:r w:rsidRPr="00DC4F35">
              <w:rPr>
                <w:rFonts w:cstheme="minorHAnsi"/>
                <w:iCs/>
              </w:rPr>
              <w:lastRenderedPageBreak/>
              <w:t xml:space="preserve">Det fremgår ikke eksplicit af </w:t>
            </w:r>
            <w:r w:rsidRPr="00DC4F35">
              <w:t xml:space="preserve">EU Data </w:t>
            </w:r>
            <w:proofErr w:type="spellStart"/>
            <w:r w:rsidRPr="00DC4F35">
              <w:t>Boundary</w:t>
            </w:r>
            <w:proofErr w:type="spellEnd"/>
            <w:r w:rsidRPr="00DC4F35">
              <w:t xml:space="preserve"> </w:t>
            </w:r>
            <w:r w:rsidRPr="00DC4F35">
              <w:rPr>
                <w:rFonts w:cstheme="minorHAnsi"/>
              </w:rPr>
              <w:t>dokumentation</w:t>
            </w:r>
            <w:r w:rsidR="00483580" w:rsidRPr="00DC4F35">
              <w:rPr>
                <w:rFonts w:cstheme="minorHAnsi"/>
              </w:rPr>
              <w:t>en</w:t>
            </w:r>
            <w:r w:rsidRPr="00DC4F35">
              <w:rPr>
                <w:rFonts w:cstheme="minorHAnsi"/>
                <w:iCs/>
              </w:rPr>
              <w:t xml:space="preserve">, hvordan Microsoft </w:t>
            </w:r>
            <w:r w:rsidR="00483580" w:rsidRPr="00DC4F35">
              <w:rPr>
                <w:rFonts w:cstheme="minorHAnsi"/>
                <w:iCs/>
              </w:rPr>
              <w:t xml:space="preserve">Ireland </w:t>
            </w:r>
            <w:r w:rsidRPr="00DC4F35">
              <w:rPr>
                <w:rFonts w:cstheme="minorHAnsi"/>
                <w:iCs/>
              </w:rPr>
              <w:t xml:space="preserve">vil minimere omfanget af overførslen. Det kan på baggrund af ovenstående dog udledes, at overførslen begrænser sig til ID-oplysninger.  </w:t>
            </w:r>
          </w:p>
          <w:p w14:paraId="521E62B9" w14:textId="77777777" w:rsidR="00775D19" w:rsidRPr="00DC4F35" w:rsidRDefault="00775D19" w:rsidP="00775D19">
            <w:pPr>
              <w:rPr>
                <w:color w:val="FF0000"/>
                <w:lang w:eastAsia="da-DK"/>
              </w:rPr>
            </w:pPr>
          </w:p>
        </w:tc>
      </w:tr>
      <w:tr w:rsidR="00775D19" w:rsidRPr="00D87AC5" w14:paraId="0F63F621" w14:textId="77777777" w:rsidTr="00C83C91">
        <w:tc>
          <w:tcPr>
            <w:tcW w:w="2122" w:type="dxa"/>
          </w:tcPr>
          <w:p w14:paraId="03A244BE" w14:textId="6B6AD16E" w:rsidR="00775D19" w:rsidRPr="001C19E7" w:rsidRDefault="00775D19" w:rsidP="00775D19">
            <w:pPr>
              <w:rPr>
                <w:lang w:val="en-US" w:eastAsia="da-DK"/>
              </w:rPr>
            </w:pPr>
            <w:r w:rsidRPr="001C19E7">
              <w:rPr>
                <w:lang w:val="en-US"/>
              </w:rPr>
              <w:lastRenderedPageBreak/>
              <w:t>Service and Platform Quality and Management</w:t>
            </w:r>
          </w:p>
        </w:tc>
        <w:tc>
          <w:tcPr>
            <w:tcW w:w="7654" w:type="dxa"/>
          </w:tcPr>
          <w:p w14:paraId="04AE6CFF" w14:textId="7EB78524" w:rsidR="00E51D95" w:rsidRPr="00DC4F35" w:rsidRDefault="00E51D95" w:rsidP="00E51D95">
            <w:pPr>
              <w:rPr>
                <w:rFonts w:cstheme="minorHAnsi"/>
              </w:rPr>
            </w:pPr>
            <w:r w:rsidRPr="00DC4F35">
              <w:rPr>
                <w:rFonts w:cstheme="minorHAnsi"/>
                <w:iCs/>
              </w:rPr>
              <w:t xml:space="preserve">Microsoft </w:t>
            </w:r>
            <w:r w:rsidR="00483580" w:rsidRPr="00DC4F35">
              <w:rPr>
                <w:rFonts w:cstheme="minorHAnsi"/>
                <w:iCs/>
              </w:rPr>
              <w:t xml:space="preserve">Ireland </w:t>
            </w:r>
            <w:r w:rsidRPr="00DC4F35">
              <w:rPr>
                <w:rFonts w:cstheme="minorHAnsi"/>
                <w:iCs/>
              </w:rPr>
              <w:t xml:space="preserve">beskriver nødvendigheden af overførslen på følgende måde i </w:t>
            </w:r>
            <w:r w:rsidRPr="00DC4F35">
              <w:t xml:space="preserve">EU Data </w:t>
            </w:r>
            <w:proofErr w:type="spellStart"/>
            <w:r w:rsidRPr="00DC4F35">
              <w:t>Boundary</w:t>
            </w:r>
            <w:proofErr w:type="spellEnd"/>
            <w:r w:rsidRPr="00DC4F35">
              <w:t xml:space="preserve"> </w:t>
            </w:r>
            <w:r w:rsidRPr="00DC4F35">
              <w:rPr>
                <w:rFonts w:cstheme="minorHAnsi"/>
              </w:rPr>
              <w:t>dokumentation</w:t>
            </w:r>
            <w:r w:rsidR="00483580" w:rsidRPr="00DC4F35">
              <w:rPr>
                <w:rFonts w:cstheme="minorHAnsi"/>
              </w:rPr>
              <w:t>en</w:t>
            </w:r>
            <w:r w:rsidRPr="00DC4F35">
              <w:rPr>
                <w:rFonts w:cstheme="minorHAnsi"/>
              </w:rPr>
              <w:t>:</w:t>
            </w:r>
          </w:p>
          <w:p w14:paraId="2969FE00" w14:textId="77777777" w:rsidR="00E51D95" w:rsidRPr="00DC4F35" w:rsidRDefault="00E51D95" w:rsidP="00775D19">
            <w:pPr>
              <w:rPr>
                <w:color w:val="FF0000"/>
                <w:lang w:eastAsia="da-DK"/>
              </w:rPr>
            </w:pPr>
          </w:p>
          <w:p w14:paraId="52F4E1B4" w14:textId="77777777" w:rsidR="00E51D95" w:rsidRDefault="00E51D95" w:rsidP="00775D19">
            <w:pPr>
              <w:rPr>
                <w:i/>
                <w:iCs/>
                <w:lang w:val="en-US"/>
              </w:rPr>
            </w:pPr>
            <w:r w:rsidRPr="001C19E7">
              <w:rPr>
                <w:i/>
                <w:iCs/>
                <w:lang w:val="en-US"/>
              </w:rPr>
              <w:t>“Microsoft personnel may require some pseudonymized personal data from system-generated logs to be consolidated globally to ensure the services are running efficiently and to compute and monitor real-time, global quality metrics for the services.”</w:t>
            </w:r>
          </w:p>
          <w:p w14:paraId="69161657" w14:textId="001715B7" w:rsidR="00913274" w:rsidRPr="001C19E7" w:rsidRDefault="00913274" w:rsidP="00775D19">
            <w:pPr>
              <w:rPr>
                <w:i/>
                <w:iCs/>
                <w:color w:val="FF0000"/>
                <w:lang w:val="en-US" w:eastAsia="da-DK"/>
              </w:rPr>
            </w:pPr>
          </w:p>
        </w:tc>
      </w:tr>
      <w:tr w:rsidR="00BE72D3" w:rsidRPr="00DC4F35" w14:paraId="734ED382" w14:textId="77777777" w:rsidTr="00C83C91">
        <w:tc>
          <w:tcPr>
            <w:tcW w:w="2122" w:type="dxa"/>
          </w:tcPr>
          <w:p w14:paraId="4D69183B" w14:textId="6F22C1D0" w:rsidR="00BE72D3" w:rsidRPr="00DC4F35" w:rsidRDefault="00BE72D3" w:rsidP="00775D19">
            <w:r w:rsidRPr="00DC4F35">
              <w:t>Supportydelser (Professional Services)</w:t>
            </w:r>
          </w:p>
        </w:tc>
        <w:tc>
          <w:tcPr>
            <w:tcW w:w="7654" w:type="dxa"/>
          </w:tcPr>
          <w:p w14:paraId="64525063" w14:textId="53982969" w:rsidR="00002FDF" w:rsidRPr="001C19E7" w:rsidRDefault="00002FDF" w:rsidP="00E51D95">
            <w:pPr>
              <w:rPr>
                <w:rFonts w:cstheme="minorHAnsi"/>
                <w:iCs/>
                <w:lang w:val="en-US"/>
              </w:rPr>
            </w:pPr>
            <w:r w:rsidRPr="00DC4F35">
              <w:rPr>
                <w:rFonts w:cstheme="minorHAnsi"/>
                <w:iCs/>
              </w:rPr>
              <w:t xml:space="preserve">Microsoft har både begrænset adgangen til Professional Services Data (og dermed overførsler) og omfanget heraf til det højest nødvendige, herunder når kunden/brugeren selv tager kontakt og beder om support. </w:t>
            </w:r>
            <w:r w:rsidRPr="001C19E7">
              <w:rPr>
                <w:rFonts w:cstheme="minorHAnsi"/>
                <w:iCs/>
                <w:lang w:val="en-US"/>
              </w:rPr>
              <w:t xml:space="preserve">Det </w:t>
            </w:r>
            <w:proofErr w:type="spellStart"/>
            <w:r w:rsidRPr="001C19E7">
              <w:rPr>
                <w:rFonts w:cstheme="minorHAnsi"/>
                <w:iCs/>
                <w:lang w:val="en-US"/>
              </w:rPr>
              <w:t>fremgår</w:t>
            </w:r>
            <w:proofErr w:type="spellEnd"/>
            <w:r w:rsidRPr="001C19E7">
              <w:rPr>
                <w:rFonts w:cstheme="minorHAnsi"/>
                <w:iCs/>
                <w:lang w:val="en-US"/>
              </w:rPr>
              <w:t xml:space="preserve"> </w:t>
            </w:r>
            <w:proofErr w:type="spellStart"/>
            <w:r w:rsidRPr="001C19E7">
              <w:rPr>
                <w:rFonts w:cstheme="minorHAnsi"/>
                <w:iCs/>
                <w:lang w:val="en-US"/>
              </w:rPr>
              <w:t>således</w:t>
            </w:r>
            <w:proofErr w:type="spellEnd"/>
            <w:r w:rsidRPr="001C19E7">
              <w:rPr>
                <w:rFonts w:cstheme="minorHAnsi"/>
                <w:iCs/>
                <w:lang w:val="en-US"/>
              </w:rPr>
              <w:t xml:space="preserve"> </w:t>
            </w:r>
            <w:proofErr w:type="spellStart"/>
            <w:r w:rsidRPr="001C19E7">
              <w:rPr>
                <w:rFonts w:cstheme="minorHAnsi"/>
                <w:iCs/>
                <w:lang w:val="en-US"/>
              </w:rPr>
              <w:t>af</w:t>
            </w:r>
            <w:proofErr w:type="spellEnd"/>
            <w:r w:rsidRPr="001C19E7">
              <w:rPr>
                <w:rFonts w:cstheme="minorHAnsi"/>
                <w:iCs/>
                <w:lang w:val="en-US"/>
              </w:rPr>
              <w:t xml:space="preserve"> EU Data Boundary, at</w:t>
            </w:r>
            <w:r w:rsidR="00EC3E4A" w:rsidRPr="001C19E7">
              <w:rPr>
                <w:rFonts w:cstheme="minorHAnsi"/>
                <w:iCs/>
                <w:lang w:val="en-US"/>
              </w:rPr>
              <w:t>:</w:t>
            </w:r>
          </w:p>
          <w:p w14:paraId="4B356460" w14:textId="77777777" w:rsidR="00002FDF" w:rsidRPr="001C19E7" w:rsidRDefault="00002FDF" w:rsidP="00E51D95">
            <w:pPr>
              <w:rPr>
                <w:rFonts w:cstheme="minorHAnsi"/>
                <w:iCs/>
                <w:lang w:val="en-US"/>
              </w:rPr>
            </w:pPr>
          </w:p>
          <w:p w14:paraId="5E571E3A" w14:textId="77777777" w:rsidR="00002FDF" w:rsidRPr="001C19E7" w:rsidRDefault="00002FDF" w:rsidP="00E51D95">
            <w:pPr>
              <w:rPr>
                <w:i/>
                <w:iCs/>
                <w:lang w:val="en-US"/>
              </w:rPr>
            </w:pPr>
            <w:r w:rsidRPr="001C19E7">
              <w:rPr>
                <w:i/>
                <w:iCs/>
                <w:lang w:val="en-US"/>
              </w:rPr>
              <w:t xml:space="preserve">“When customers provide Microsoft with data in the course of engaging with Microsoft for support […] </w:t>
            </w:r>
          </w:p>
          <w:p w14:paraId="6DD140DC" w14:textId="77777777" w:rsidR="00002FDF" w:rsidRPr="001C19E7" w:rsidRDefault="00002FDF" w:rsidP="00E51D95">
            <w:pPr>
              <w:rPr>
                <w:i/>
                <w:iCs/>
                <w:lang w:val="en-US"/>
              </w:rPr>
            </w:pPr>
          </w:p>
          <w:p w14:paraId="60097B4F" w14:textId="77777777" w:rsidR="00BE72D3" w:rsidRPr="00DC4F35" w:rsidRDefault="00002FDF" w:rsidP="00E51D95">
            <w:pPr>
              <w:rPr>
                <w:i/>
                <w:iCs/>
              </w:rPr>
            </w:pPr>
            <w:r w:rsidRPr="001C19E7">
              <w:rPr>
                <w:i/>
                <w:iCs/>
                <w:lang w:val="en-US"/>
              </w:rPr>
              <w:t xml:space="preserve">Access to Professional Services Data by Microsoft personnel during a support engagement is limited to approved support management systems utilizing security and authentication controls, including two-factor authentication and virtualized environments, as necessary. Other Microsoft personnel may only access Professional Services Data associated with a specific engagement by providing necessary business justification and manager approval. </w:t>
            </w:r>
            <w:r w:rsidRPr="00DC4F35">
              <w:rPr>
                <w:i/>
                <w:iCs/>
              </w:rPr>
              <w:t>[…]”</w:t>
            </w:r>
          </w:p>
          <w:p w14:paraId="53D37C27" w14:textId="1FD67DBF" w:rsidR="00AA525E" w:rsidRPr="00DC4F35" w:rsidRDefault="00AA525E" w:rsidP="00E51D95"/>
        </w:tc>
      </w:tr>
      <w:tr w:rsidR="00775D19" w:rsidRPr="00DC4F35" w14:paraId="579A4888" w14:textId="77777777" w:rsidTr="00C83C91">
        <w:tc>
          <w:tcPr>
            <w:tcW w:w="2122" w:type="dxa"/>
          </w:tcPr>
          <w:p w14:paraId="08E60065" w14:textId="2961AD92" w:rsidR="00775D19" w:rsidRPr="00DC4F35" w:rsidRDefault="00EC3E4A" w:rsidP="00775D19">
            <w:r w:rsidRPr="00DC4F35">
              <w:t xml:space="preserve">For så vidt angår </w:t>
            </w:r>
            <w:r w:rsidR="00775D19" w:rsidRPr="00DC4F35">
              <w:t xml:space="preserve">Teams og Exchange Online sker </w:t>
            </w:r>
            <w:r w:rsidRPr="00DC4F35">
              <w:t xml:space="preserve">der </w:t>
            </w:r>
            <w:r w:rsidR="00775D19" w:rsidRPr="00DC4F35">
              <w:t xml:space="preserve">overførsler ud af EU Data </w:t>
            </w:r>
            <w:proofErr w:type="spellStart"/>
            <w:r w:rsidR="00775D19" w:rsidRPr="00DC4F35">
              <w:t>Boundary</w:t>
            </w:r>
            <w:proofErr w:type="spellEnd"/>
            <w:r w:rsidR="00775D19" w:rsidRPr="00DC4F35">
              <w:t>, som er særlige for disse tjenester</w:t>
            </w:r>
            <w:r w:rsidR="002A0631" w:rsidRPr="00DC4F35">
              <w:t>.</w:t>
            </w:r>
          </w:p>
        </w:tc>
        <w:tc>
          <w:tcPr>
            <w:tcW w:w="7654" w:type="dxa"/>
          </w:tcPr>
          <w:p w14:paraId="36FEF1A8" w14:textId="076FCA81" w:rsidR="00E51D95" w:rsidRPr="00DC4F35" w:rsidRDefault="00775D19" w:rsidP="00E51D95">
            <w:pPr>
              <w:rPr>
                <w:rFonts w:cstheme="minorHAnsi"/>
              </w:rPr>
            </w:pPr>
            <w:r w:rsidRPr="00DC4F35">
              <w:rPr>
                <w:rFonts w:cstheme="minorHAnsi"/>
              </w:rPr>
              <w:t xml:space="preserve"> </w:t>
            </w:r>
            <w:r w:rsidR="00E51D95" w:rsidRPr="00DC4F35">
              <w:rPr>
                <w:rFonts w:cstheme="minorHAnsi"/>
                <w:iCs/>
              </w:rPr>
              <w:t xml:space="preserve">Microsoft </w:t>
            </w:r>
            <w:r w:rsidR="008A3A58" w:rsidRPr="00DC4F35">
              <w:rPr>
                <w:rFonts w:cstheme="minorHAnsi"/>
                <w:iCs/>
              </w:rPr>
              <w:t xml:space="preserve">Ireland </w:t>
            </w:r>
            <w:r w:rsidR="00E51D95" w:rsidRPr="00DC4F35">
              <w:rPr>
                <w:rFonts w:cstheme="minorHAnsi"/>
                <w:iCs/>
              </w:rPr>
              <w:t xml:space="preserve">beskriver overførslen på følgende måde i </w:t>
            </w:r>
            <w:r w:rsidR="00E51D95" w:rsidRPr="00DC4F35">
              <w:t xml:space="preserve">EU Data </w:t>
            </w:r>
            <w:proofErr w:type="spellStart"/>
            <w:r w:rsidR="00E51D95" w:rsidRPr="00DC4F35">
              <w:t>Boundary</w:t>
            </w:r>
            <w:proofErr w:type="spellEnd"/>
            <w:r w:rsidR="00E51D95" w:rsidRPr="00DC4F35">
              <w:t xml:space="preserve"> </w:t>
            </w:r>
            <w:r w:rsidR="00E51D95" w:rsidRPr="00DC4F35">
              <w:rPr>
                <w:rFonts w:cstheme="minorHAnsi"/>
              </w:rPr>
              <w:t>dokumentation</w:t>
            </w:r>
            <w:r w:rsidR="008A3A58" w:rsidRPr="00DC4F35">
              <w:rPr>
                <w:rFonts w:cstheme="minorHAnsi"/>
              </w:rPr>
              <w:t>en</w:t>
            </w:r>
            <w:r w:rsidR="00E51D95" w:rsidRPr="00DC4F35">
              <w:rPr>
                <w:rFonts w:cstheme="minorHAnsi"/>
              </w:rPr>
              <w:t>:</w:t>
            </w:r>
          </w:p>
          <w:p w14:paraId="4E525414" w14:textId="77777777" w:rsidR="00775D19" w:rsidRPr="00DC4F35" w:rsidRDefault="00775D19" w:rsidP="00775D19">
            <w:pPr>
              <w:rPr>
                <w:rFonts w:cstheme="minorHAnsi"/>
              </w:rPr>
            </w:pPr>
          </w:p>
          <w:p w14:paraId="7C66D7F0" w14:textId="77777777" w:rsidR="00E51D95" w:rsidRPr="001C19E7" w:rsidRDefault="00295606" w:rsidP="00295606">
            <w:pPr>
              <w:rPr>
                <w:rFonts w:cstheme="minorHAnsi"/>
                <w:i/>
                <w:iCs/>
                <w:lang w:val="en-US"/>
              </w:rPr>
            </w:pPr>
            <w:r w:rsidRPr="001C19E7">
              <w:rPr>
                <w:rFonts w:cstheme="minorHAnsi"/>
                <w:i/>
                <w:iCs/>
                <w:lang w:val="en-US"/>
              </w:rPr>
              <w:t>“Exchange Online transfers some pseudonymized personal data out of the EU Data Boundary for service health monitoring. As part of service operations, when DevOps personnel run queries that combine system-generated data stored inside and outside the EU Data Boundary, transient egress of pseudonymized personal data may occur during the duration of the query runtime.”</w:t>
            </w:r>
          </w:p>
          <w:p w14:paraId="443A0A5E" w14:textId="77777777" w:rsidR="00295606" w:rsidRPr="001C19E7" w:rsidRDefault="00295606" w:rsidP="00295606">
            <w:pPr>
              <w:rPr>
                <w:rFonts w:cstheme="minorHAnsi"/>
                <w:i/>
                <w:iCs/>
                <w:lang w:val="en-US"/>
              </w:rPr>
            </w:pPr>
          </w:p>
          <w:p w14:paraId="18E9B7A3" w14:textId="4E2482A3" w:rsidR="00295606" w:rsidRPr="00DC4F35" w:rsidRDefault="00295606" w:rsidP="00295606">
            <w:pPr>
              <w:rPr>
                <w:rFonts w:cstheme="minorHAnsi"/>
                <w:iCs/>
              </w:rPr>
            </w:pPr>
            <w:r w:rsidRPr="00DC4F35">
              <w:rPr>
                <w:rFonts w:cstheme="minorHAnsi"/>
                <w:iCs/>
              </w:rPr>
              <w:lastRenderedPageBreak/>
              <w:t xml:space="preserve">Det fremgår ikke eksplicit af </w:t>
            </w:r>
            <w:r w:rsidRPr="00DC4F35">
              <w:t xml:space="preserve">EU Data </w:t>
            </w:r>
            <w:proofErr w:type="spellStart"/>
            <w:r w:rsidRPr="00DC4F35">
              <w:t>Boundary</w:t>
            </w:r>
            <w:proofErr w:type="spellEnd"/>
            <w:r w:rsidRPr="00DC4F35">
              <w:t xml:space="preserve"> </w:t>
            </w:r>
            <w:r w:rsidRPr="00DC4F35">
              <w:rPr>
                <w:rFonts w:cstheme="minorHAnsi"/>
              </w:rPr>
              <w:t>dokumentation</w:t>
            </w:r>
            <w:r w:rsidR="008A3A58" w:rsidRPr="00DC4F35">
              <w:rPr>
                <w:rFonts w:cstheme="minorHAnsi"/>
              </w:rPr>
              <w:t>en</w:t>
            </w:r>
            <w:r w:rsidRPr="00DC4F35">
              <w:rPr>
                <w:rFonts w:cstheme="minorHAnsi"/>
                <w:iCs/>
              </w:rPr>
              <w:t>, hvorfor det er nødvendigt at kombinere data inden</w:t>
            </w:r>
            <w:r w:rsidR="00114928" w:rsidRPr="00DC4F35">
              <w:rPr>
                <w:rFonts w:cstheme="minorHAnsi"/>
                <w:iCs/>
              </w:rPr>
              <w:t xml:space="preserve"> </w:t>
            </w:r>
            <w:r w:rsidRPr="00DC4F35">
              <w:rPr>
                <w:rFonts w:cstheme="minorHAnsi"/>
                <w:iCs/>
              </w:rPr>
              <w:t>for og uden</w:t>
            </w:r>
            <w:r w:rsidR="00114928" w:rsidRPr="00DC4F35">
              <w:rPr>
                <w:rFonts w:cstheme="minorHAnsi"/>
                <w:iCs/>
              </w:rPr>
              <w:t xml:space="preserve"> </w:t>
            </w:r>
            <w:r w:rsidRPr="00DC4F35">
              <w:rPr>
                <w:rFonts w:cstheme="minorHAnsi"/>
                <w:iCs/>
              </w:rPr>
              <w:t>for EU/EØS</w:t>
            </w:r>
            <w:r w:rsidR="00EC3E4A" w:rsidRPr="00DC4F35">
              <w:rPr>
                <w:rFonts w:cstheme="minorHAnsi"/>
                <w:iCs/>
              </w:rPr>
              <w:t>,</w:t>
            </w:r>
            <w:r w:rsidRPr="00DC4F35">
              <w:rPr>
                <w:rFonts w:cstheme="minorHAnsi"/>
                <w:iCs/>
              </w:rPr>
              <w:t xml:space="preserve"> men der henvises af Microsoft til ”service operation”, som fremgår ovenfor under ”</w:t>
            </w:r>
            <w:proofErr w:type="spellStart"/>
            <w:r w:rsidRPr="00DC4F35">
              <w:rPr>
                <w:rFonts w:cstheme="minorHAnsi"/>
                <w:iCs/>
              </w:rPr>
              <w:t>protecting</w:t>
            </w:r>
            <w:proofErr w:type="spellEnd"/>
            <w:r w:rsidRPr="00DC4F35">
              <w:rPr>
                <w:rFonts w:cstheme="minorHAnsi"/>
                <w:iCs/>
              </w:rPr>
              <w:t xml:space="preserve"> </w:t>
            </w:r>
            <w:proofErr w:type="spellStart"/>
            <w:r w:rsidRPr="00DC4F35">
              <w:rPr>
                <w:rFonts w:cstheme="minorHAnsi"/>
                <w:iCs/>
              </w:rPr>
              <w:t>customer</w:t>
            </w:r>
            <w:proofErr w:type="spellEnd"/>
            <w:r w:rsidRPr="00DC4F35">
              <w:rPr>
                <w:rFonts w:cstheme="minorHAnsi"/>
                <w:iCs/>
              </w:rPr>
              <w:t>”, hvor nødvendigheden er uddybet.</w:t>
            </w:r>
          </w:p>
          <w:p w14:paraId="2235C1FD" w14:textId="77777777" w:rsidR="00295606" w:rsidRPr="00DC4F35" w:rsidRDefault="00295606" w:rsidP="00295606">
            <w:pPr>
              <w:rPr>
                <w:rFonts w:cstheme="minorHAnsi"/>
                <w:iCs/>
              </w:rPr>
            </w:pPr>
          </w:p>
          <w:p w14:paraId="1A560BA9" w14:textId="43A0C09C" w:rsidR="00295606" w:rsidRPr="00DC4F35" w:rsidRDefault="00A539FB" w:rsidP="00A539FB">
            <w:pPr>
              <w:rPr>
                <w:rFonts w:cstheme="minorHAnsi"/>
                <w:iCs/>
              </w:rPr>
            </w:pPr>
            <w:proofErr w:type="spellStart"/>
            <w:r w:rsidRPr="001C19E7">
              <w:rPr>
                <w:rFonts w:cstheme="minorHAnsi"/>
                <w:iCs/>
                <w:lang w:val="en-US"/>
              </w:rPr>
              <w:t>Desuden</w:t>
            </w:r>
            <w:proofErr w:type="spellEnd"/>
            <w:r w:rsidRPr="001C19E7">
              <w:rPr>
                <w:rFonts w:cstheme="minorHAnsi"/>
                <w:iCs/>
                <w:lang w:val="en-US"/>
              </w:rPr>
              <w:t xml:space="preserve"> </w:t>
            </w:r>
            <w:proofErr w:type="spellStart"/>
            <w:r w:rsidRPr="001C19E7">
              <w:rPr>
                <w:rFonts w:cstheme="minorHAnsi"/>
                <w:iCs/>
                <w:lang w:val="en-US"/>
              </w:rPr>
              <w:t>fremgår</w:t>
            </w:r>
            <w:proofErr w:type="spellEnd"/>
            <w:r w:rsidRPr="001C19E7">
              <w:rPr>
                <w:rFonts w:cstheme="minorHAnsi"/>
                <w:iCs/>
                <w:lang w:val="en-US"/>
              </w:rPr>
              <w:t xml:space="preserve"> det </w:t>
            </w:r>
            <w:proofErr w:type="gramStart"/>
            <w:r w:rsidRPr="001C19E7">
              <w:rPr>
                <w:rFonts w:cstheme="minorHAnsi"/>
                <w:iCs/>
                <w:lang w:val="en-US"/>
              </w:rPr>
              <w:t xml:space="preserve">at </w:t>
            </w:r>
            <w:r w:rsidRPr="001C19E7">
              <w:rPr>
                <w:rFonts w:cstheme="minorHAnsi"/>
                <w:i/>
                <w:lang w:val="en-US"/>
              </w:rPr>
              <w:t>”Data</w:t>
            </w:r>
            <w:proofErr w:type="gramEnd"/>
            <w:r w:rsidRPr="001C19E7">
              <w:rPr>
                <w:rFonts w:cstheme="minorHAnsi"/>
                <w:i/>
                <w:lang w:val="en-US"/>
              </w:rPr>
              <w:t xml:space="preserve"> from Teams Q&amp;A will be processed and stored in North America in the following scenarios, until Dec 31, 2024”.</w:t>
            </w:r>
            <w:r w:rsidRPr="001C19E7">
              <w:rPr>
                <w:rFonts w:cstheme="minorHAnsi"/>
                <w:iCs/>
                <w:lang w:val="en-US"/>
              </w:rPr>
              <w:t xml:space="preserve"> </w:t>
            </w:r>
            <w:r w:rsidRPr="00DC4F35">
              <w:rPr>
                <w:rFonts w:cstheme="minorHAnsi"/>
                <w:iCs/>
              </w:rPr>
              <w:t>Hvorfor det har været nødvendigt</w:t>
            </w:r>
            <w:r w:rsidR="00114928" w:rsidRPr="00DC4F35">
              <w:rPr>
                <w:rFonts w:cstheme="minorHAnsi"/>
                <w:iCs/>
              </w:rPr>
              <w:t>,</w:t>
            </w:r>
            <w:r w:rsidRPr="00DC4F35">
              <w:rPr>
                <w:rFonts w:cstheme="minorHAnsi"/>
                <w:iCs/>
              </w:rPr>
              <w:t xml:space="preserve"> fremgår ikke, men umiddelbart synes det at kunne udledes heraf, at det hænger sammen med udviklingen af EU Data </w:t>
            </w:r>
            <w:proofErr w:type="spellStart"/>
            <w:r w:rsidRPr="00DC4F35">
              <w:rPr>
                <w:rFonts w:cstheme="minorHAnsi"/>
                <w:iCs/>
              </w:rPr>
              <w:t>Boundary</w:t>
            </w:r>
            <w:proofErr w:type="spellEnd"/>
            <w:r w:rsidRPr="00DC4F35">
              <w:rPr>
                <w:rFonts w:cstheme="minorHAnsi"/>
                <w:iCs/>
              </w:rPr>
              <w:t xml:space="preserve"> Services.</w:t>
            </w:r>
          </w:p>
          <w:p w14:paraId="3658D395" w14:textId="77777777" w:rsidR="00295606" w:rsidRPr="00DC4F35" w:rsidRDefault="00295606" w:rsidP="00295606">
            <w:pPr>
              <w:rPr>
                <w:rFonts w:cstheme="minorHAnsi"/>
              </w:rPr>
            </w:pPr>
          </w:p>
          <w:p w14:paraId="68A3613F" w14:textId="77777777" w:rsidR="0073606A" w:rsidRPr="00DC4F35" w:rsidRDefault="0073606A" w:rsidP="00295606">
            <w:pPr>
              <w:rPr>
                <w:rFonts w:cstheme="minorHAnsi"/>
              </w:rPr>
            </w:pPr>
            <w:r w:rsidRPr="00DC4F35">
              <w:rPr>
                <w:rFonts w:cstheme="minorHAnsi"/>
              </w:rPr>
              <w:t xml:space="preserve">Om nødvendigheden af overførsler ift. Public </w:t>
            </w:r>
            <w:proofErr w:type="spellStart"/>
            <w:r w:rsidRPr="00DC4F35">
              <w:rPr>
                <w:rFonts w:cstheme="minorHAnsi"/>
              </w:rPr>
              <w:t>Switched</w:t>
            </w:r>
            <w:proofErr w:type="spellEnd"/>
            <w:r w:rsidRPr="00DC4F35">
              <w:rPr>
                <w:rFonts w:cstheme="minorHAnsi"/>
              </w:rPr>
              <w:t xml:space="preserve"> Telephone Network (PSTN) Services, fremgår følgende:</w:t>
            </w:r>
          </w:p>
          <w:p w14:paraId="6ACAD214" w14:textId="77777777" w:rsidR="0073606A" w:rsidRPr="00DC4F35" w:rsidRDefault="0073606A" w:rsidP="00295606">
            <w:pPr>
              <w:rPr>
                <w:rFonts w:cstheme="minorHAnsi"/>
              </w:rPr>
            </w:pPr>
          </w:p>
          <w:p w14:paraId="5E5D221F" w14:textId="00612555" w:rsidR="0073606A" w:rsidRPr="001C19E7" w:rsidRDefault="006D6005" w:rsidP="006D6005">
            <w:pPr>
              <w:pStyle w:val="Punktopstilling"/>
              <w:rPr>
                <w:i/>
                <w:iCs/>
                <w:lang w:val="en-US"/>
              </w:rPr>
            </w:pPr>
            <w:r w:rsidRPr="001C19E7">
              <w:rPr>
                <w:i/>
                <w:iCs/>
                <w:lang w:val="en-US"/>
              </w:rPr>
              <w:t>“</w:t>
            </w:r>
            <w:r w:rsidR="0073606A" w:rsidRPr="001C19E7">
              <w:rPr>
                <w:i/>
                <w:iCs/>
                <w:lang w:val="en-US"/>
              </w:rPr>
              <w:t>Microsoft Teams Phone System: […] A globally replicated mapping of assigned PSTN numbers enables Teams Phone System to route calls to the right users efficiently. This approach supports traveling and remote users and global incoming calls, enabling the service to route incoming calls in real time regardless of the current location of the called user […].</w:t>
            </w:r>
          </w:p>
          <w:p w14:paraId="5148858B" w14:textId="515CD524" w:rsidR="0073606A" w:rsidRPr="00DC4F35" w:rsidRDefault="0073606A" w:rsidP="006D6005">
            <w:pPr>
              <w:pStyle w:val="Punktopstilling"/>
              <w:rPr>
                <w:rFonts w:cstheme="minorHAnsi"/>
                <w:i/>
                <w:iCs/>
              </w:rPr>
            </w:pPr>
            <w:r w:rsidRPr="001C19E7">
              <w:rPr>
                <w:rFonts w:cstheme="minorHAnsi"/>
                <w:i/>
                <w:iCs/>
                <w:lang w:val="en-US"/>
              </w:rPr>
              <w:t xml:space="preserve">Teams Operator Connect Plan: EU customers can choose to use a third-party PSTN provider that participates in the Teams Operator Connect Plan. These third-party providers may use call specific global unique IDs (GUIDs) in the Operator Connect portal to retrieve phone number and emergency address location information associated with a call. This information enables third-party providers to manage Teams PSTN related data for billing purposes and call troubleshooting. </w:t>
            </w:r>
            <w:r w:rsidR="006D6005" w:rsidRPr="00DC4F35">
              <w:rPr>
                <w:rFonts w:cstheme="minorHAnsi"/>
                <w:i/>
                <w:iCs/>
              </w:rPr>
              <w:t>[…]</w:t>
            </w:r>
          </w:p>
          <w:p w14:paraId="3C94450B" w14:textId="77777777" w:rsidR="0073606A" w:rsidRPr="001C19E7" w:rsidRDefault="0073606A" w:rsidP="006D6005">
            <w:pPr>
              <w:pStyle w:val="Punktopstilling"/>
              <w:rPr>
                <w:rFonts w:cstheme="minorHAnsi"/>
                <w:lang w:val="en-US"/>
              </w:rPr>
            </w:pPr>
            <w:r w:rsidRPr="001C19E7">
              <w:rPr>
                <w:rFonts w:cstheme="minorHAnsi"/>
                <w:i/>
                <w:iCs/>
                <w:lang w:val="en-US"/>
              </w:rPr>
              <w:t>Call-specific IDs: When users make a call using Teams, some call-specific IDs are stored for up to three days in the United States for call troubleshooting, billing, debugging, and business reporting. These IDs include an ID to represent the call itself, and IDs for each participant in the call. These participant IDs are specific to the call and not shared across calls, nor do they represent the Teams user accounts for the call participants.</w:t>
            </w:r>
            <w:r w:rsidR="006D6005" w:rsidRPr="001C19E7">
              <w:rPr>
                <w:rFonts w:cstheme="minorHAnsi"/>
                <w:i/>
                <w:iCs/>
                <w:lang w:val="en-US"/>
              </w:rPr>
              <w:t>”</w:t>
            </w:r>
          </w:p>
          <w:p w14:paraId="7EBEA262" w14:textId="77777777" w:rsidR="00EC3E4A" w:rsidRPr="001C19E7" w:rsidRDefault="00EC3E4A" w:rsidP="006D6005">
            <w:pPr>
              <w:pStyle w:val="Punktopstilling"/>
              <w:numPr>
                <w:ilvl w:val="0"/>
                <w:numId w:val="0"/>
              </w:numPr>
              <w:rPr>
                <w:rFonts w:cstheme="minorHAnsi"/>
                <w:lang w:val="en-US"/>
              </w:rPr>
            </w:pPr>
          </w:p>
          <w:p w14:paraId="197F8BCE" w14:textId="2EF5B30D" w:rsidR="006D6005" w:rsidRPr="00DC4F35" w:rsidRDefault="006D6005" w:rsidP="006D6005">
            <w:pPr>
              <w:pStyle w:val="Punktopstilling"/>
              <w:numPr>
                <w:ilvl w:val="0"/>
                <w:numId w:val="0"/>
              </w:numPr>
              <w:rPr>
                <w:rFonts w:cstheme="minorHAnsi"/>
              </w:rPr>
            </w:pPr>
            <w:r w:rsidRPr="00DC4F35">
              <w:rPr>
                <w:rFonts w:cstheme="minorHAnsi"/>
              </w:rPr>
              <w:lastRenderedPageBreak/>
              <w:t>Derudover oplyser Microsoft</w:t>
            </w:r>
            <w:r w:rsidR="008A3A58" w:rsidRPr="00DC4F35">
              <w:rPr>
                <w:rFonts w:cstheme="minorHAnsi"/>
              </w:rPr>
              <w:t xml:space="preserve"> Ireland</w:t>
            </w:r>
            <w:r w:rsidRPr="00DC4F35">
              <w:rPr>
                <w:rFonts w:cstheme="minorHAnsi"/>
              </w:rPr>
              <w:t xml:space="preserve"> i EU Data </w:t>
            </w:r>
            <w:proofErr w:type="spellStart"/>
            <w:r w:rsidRPr="00DC4F35">
              <w:rPr>
                <w:rFonts w:cstheme="minorHAnsi"/>
              </w:rPr>
              <w:t>Boundary</w:t>
            </w:r>
            <w:proofErr w:type="spellEnd"/>
            <w:r w:rsidRPr="00DC4F35">
              <w:rPr>
                <w:rFonts w:cstheme="minorHAnsi"/>
              </w:rPr>
              <w:t xml:space="preserve"> dokument</w:t>
            </w:r>
            <w:r w:rsidR="004174B5" w:rsidRPr="00DC4F35">
              <w:rPr>
                <w:rFonts w:cstheme="minorHAnsi"/>
              </w:rPr>
              <w:t>at</w:t>
            </w:r>
            <w:r w:rsidRPr="00DC4F35">
              <w:rPr>
                <w:rFonts w:cstheme="minorHAnsi"/>
              </w:rPr>
              <w:t>ionen, at det er nødvendigt at oprette et midlertidigt nummer ved nødopkald fra Teams, for at kunne skelne mellem brugerne og for at kunne ringe tilbage ved behov.</w:t>
            </w:r>
          </w:p>
          <w:p w14:paraId="559E18C2" w14:textId="77777777" w:rsidR="006D6005" w:rsidRPr="00DC4F35" w:rsidRDefault="006D6005" w:rsidP="006D6005">
            <w:pPr>
              <w:pStyle w:val="Punktopstilling"/>
              <w:numPr>
                <w:ilvl w:val="0"/>
                <w:numId w:val="0"/>
              </w:numPr>
              <w:rPr>
                <w:rFonts w:cstheme="minorHAnsi"/>
              </w:rPr>
            </w:pPr>
          </w:p>
          <w:p w14:paraId="43E54CFE" w14:textId="7D862A79" w:rsidR="006D6005" w:rsidRDefault="006D6005" w:rsidP="006D6005">
            <w:pPr>
              <w:pStyle w:val="Punktopstilling"/>
              <w:numPr>
                <w:ilvl w:val="0"/>
                <w:numId w:val="0"/>
              </w:numPr>
            </w:pPr>
            <w:r w:rsidRPr="00DC4F35">
              <w:rPr>
                <w:rFonts w:cstheme="minorHAnsi"/>
              </w:rPr>
              <w:t>Desuden vil der ved ”</w:t>
            </w:r>
            <w:proofErr w:type="spellStart"/>
            <w:r w:rsidRPr="00DC4F35">
              <w:t>v</w:t>
            </w:r>
            <w:r w:rsidRPr="00DC4F35">
              <w:rPr>
                <w:i/>
                <w:iCs/>
              </w:rPr>
              <w:t>oicemail</w:t>
            </w:r>
            <w:proofErr w:type="spellEnd"/>
            <w:r w:rsidRPr="00DC4F35">
              <w:rPr>
                <w:i/>
                <w:iCs/>
              </w:rPr>
              <w:t xml:space="preserve">, Auto </w:t>
            </w:r>
            <w:proofErr w:type="spellStart"/>
            <w:r w:rsidRPr="00DC4F35">
              <w:rPr>
                <w:i/>
                <w:iCs/>
              </w:rPr>
              <w:t>Attendant</w:t>
            </w:r>
            <w:proofErr w:type="spellEnd"/>
            <w:r w:rsidRPr="00DC4F35">
              <w:rPr>
                <w:i/>
                <w:iCs/>
              </w:rPr>
              <w:t xml:space="preserve">, and Call Queue </w:t>
            </w:r>
            <w:proofErr w:type="spellStart"/>
            <w:r w:rsidRPr="00DC4F35">
              <w:rPr>
                <w:i/>
                <w:iCs/>
              </w:rPr>
              <w:t>greetings</w:t>
            </w:r>
            <w:proofErr w:type="spellEnd"/>
            <w:r w:rsidRPr="00DC4F35">
              <w:t>”</w:t>
            </w:r>
            <w:r w:rsidR="00EB5668" w:rsidRPr="00DC4F35">
              <w:t>,</w:t>
            </w:r>
            <w:r w:rsidRPr="00DC4F35">
              <w:t xml:space="preserve"> som foretages af en person uden</w:t>
            </w:r>
            <w:r w:rsidR="00DE136D" w:rsidRPr="00DC4F35">
              <w:t xml:space="preserve"> </w:t>
            </w:r>
            <w:r w:rsidRPr="00DC4F35">
              <w:t>for EU/EØS</w:t>
            </w:r>
            <w:r w:rsidR="00EB5668" w:rsidRPr="00DC4F35">
              <w:t>,</w:t>
            </w:r>
            <w:r w:rsidRPr="00DC4F35">
              <w:t xml:space="preserve"> blive opbevaret personoplysninger herom i den region som den, der har ringet</w:t>
            </w:r>
            <w:r w:rsidR="009167BA" w:rsidRPr="00DC4F35">
              <w:t>,</w:t>
            </w:r>
            <w:r w:rsidRPr="00DC4F35">
              <w:t xml:space="preserve"> hører til, herunder personoplysninger om den person inden</w:t>
            </w:r>
            <w:r w:rsidR="00DE136D" w:rsidRPr="00DC4F35">
              <w:t xml:space="preserve"> </w:t>
            </w:r>
            <w:r w:rsidRPr="00DC4F35">
              <w:t>for EU/EØS, der er ringet til. Microsoft</w:t>
            </w:r>
            <w:r w:rsidR="008A3A58" w:rsidRPr="00DC4F35">
              <w:t xml:space="preserve"> Ireland</w:t>
            </w:r>
            <w:r w:rsidRPr="00DC4F35">
              <w:t xml:space="preserve"> angiver ikke yderligere om årsagen til nødvendigheden heraf.</w:t>
            </w:r>
          </w:p>
          <w:p w14:paraId="026DD590" w14:textId="77777777" w:rsidR="00E126EC" w:rsidRDefault="00E126EC" w:rsidP="006D6005">
            <w:pPr>
              <w:pStyle w:val="Punktopstilling"/>
              <w:numPr>
                <w:ilvl w:val="0"/>
                <w:numId w:val="0"/>
              </w:numPr>
            </w:pPr>
          </w:p>
          <w:p w14:paraId="56838A52" w14:textId="4C5CE3D4" w:rsidR="00E126EC" w:rsidRPr="00DC4F35" w:rsidRDefault="00E126EC" w:rsidP="006D6005">
            <w:pPr>
              <w:pStyle w:val="Punktopstilling"/>
              <w:numPr>
                <w:ilvl w:val="0"/>
                <w:numId w:val="0"/>
              </w:numPr>
            </w:pPr>
            <w:r>
              <w:t>Som tidligere nævnt</w:t>
            </w:r>
            <w:r w:rsidRPr="00E126EC">
              <w:t xml:space="preserve"> vil </w:t>
            </w:r>
            <w:r>
              <w:t xml:space="preserve">der </w:t>
            </w:r>
            <w:r w:rsidRPr="00E126EC">
              <w:t>blive udarbejdet retningslinjer, der afskærer brugen heraf i tilfælde, hvor modtager-brugeren befinder sig uden for EU.</w:t>
            </w:r>
          </w:p>
          <w:p w14:paraId="57347AEC" w14:textId="77777777" w:rsidR="006D6005" w:rsidRPr="00DC4F35" w:rsidRDefault="006D6005" w:rsidP="006D6005">
            <w:pPr>
              <w:pStyle w:val="Punktopstilling"/>
              <w:numPr>
                <w:ilvl w:val="0"/>
                <w:numId w:val="0"/>
              </w:numPr>
            </w:pPr>
          </w:p>
          <w:p w14:paraId="7E59D701" w14:textId="5FA42AD7" w:rsidR="006D6005" w:rsidRPr="00DC4F35" w:rsidRDefault="006D6005" w:rsidP="00913274">
            <w:pPr>
              <w:pStyle w:val="Punktopstilling"/>
              <w:numPr>
                <w:ilvl w:val="0"/>
                <w:numId w:val="0"/>
              </w:numPr>
              <w:ind w:left="35"/>
              <w:rPr>
                <w:rFonts w:cstheme="minorHAnsi"/>
              </w:rPr>
            </w:pPr>
            <w:r w:rsidRPr="00DC4F35">
              <w:t>Endelig</w:t>
            </w:r>
            <w:r w:rsidR="00912766" w:rsidRPr="00DC4F35">
              <w:t xml:space="preserve"> vil der nødvendigvis blive overført personoplysninger til et tredjeland i forbindelse med en chat</w:t>
            </w:r>
            <w:r w:rsidR="00905541" w:rsidRPr="00DC4F35">
              <w:t>-session</w:t>
            </w:r>
            <w:r w:rsidR="00912766" w:rsidRPr="00DC4F35">
              <w:t>, hvor modtageren befinder sig i et tredjeland.</w:t>
            </w:r>
            <w:r w:rsidR="008F0B49">
              <w:t xml:space="preserve"> Beskedtråde i forbindelse med chats/møder opbevares i initiativtageres (dvs. chat-starteres/ mødearrangørers) region. Der vil</w:t>
            </w:r>
            <w:r w:rsidR="00A14BA9">
              <w:t xml:space="preserve"> dog som tidligere nævnt</w:t>
            </w:r>
            <w:r w:rsidR="008F0B49">
              <w:t xml:space="preserve"> blive udarbejdet retningslinjer, der afskærer brugen heraf i tilfælde, hvor initi</w:t>
            </w:r>
            <w:r w:rsidR="00E207A8">
              <w:t>ati</w:t>
            </w:r>
            <w:r w:rsidR="008F0B49">
              <w:t>vtageren befinder sig uden for EU.</w:t>
            </w:r>
          </w:p>
        </w:tc>
      </w:tr>
    </w:tbl>
    <w:p w14:paraId="483A32DC" w14:textId="77777777" w:rsidR="004C2400" w:rsidRPr="00DC4F35" w:rsidRDefault="004C2400" w:rsidP="003F2D82">
      <w:pPr>
        <w:pStyle w:val="ProductList-Body"/>
        <w:ind w:left="158"/>
        <w:rPr>
          <w:sz w:val="20"/>
          <w:szCs w:val="22"/>
        </w:rPr>
      </w:pPr>
    </w:p>
    <w:p w14:paraId="4711C379" w14:textId="5042D9DD" w:rsidR="000A2C5B" w:rsidRPr="00DC4F35" w:rsidRDefault="00347792" w:rsidP="008B338D">
      <w:pPr>
        <w:rPr>
          <w:szCs w:val="22"/>
        </w:rPr>
      </w:pPr>
      <w:r w:rsidRPr="00DC4F35">
        <w:rPr>
          <w:rFonts w:cstheme="minorHAnsi"/>
        </w:rPr>
        <w:t xml:space="preserve">På denne baggrund må det konkluderes, at overførslerne er begrænset til, hvad der er nødvendigt i lyset af de respektive formål med overførslerne, </w:t>
      </w:r>
      <w:r w:rsidR="00A063E5" w:rsidRPr="00DC4F35">
        <w:rPr>
          <w:rFonts w:cstheme="minorHAnsi"/>
        </w:rPr>
        <w:t>samt</w:t>
      </w:r>
      <w:r w:rsidRPr="00DC4F35">
        <w:rPr>
          <w:rFonts w:cstheme="minorHAnsi"/>
        </w:rPr>
        <w:t xml:space="preserve"> </w:t>
      </w:r>
      <w:r w:rsidR="00A063E5" w:rsidRPr="00DC4F35">
        <w:rPr>
          <w:rFonts w:cstheme="minorHAnsi"/>
        </w:rPr>
        <w:t>at</w:t>
      </w:r>
      <w:r w:rsidRPr="00DC4F35">
        <w:rPr>
          <w:rFonts w:cstheme="minorHAnsi"/>
        </w:rPr>
        <w:t xml:space="preserve"> der er implementeret en række tekniske og organisatoriske foranstaltninger med henblik på, at der</w:t>
      </w:r>
      <w:r w:rsidR="00A063E5" w:rsidRPr="00DC4F35">
        <w:rPr>
          <w:rFonts w:cstheme="minorHAnsi"/>
        </w:rPr>
        <w:t xml:space="preserve"> ikke sker flere eller bredere overførsler end nødvendigt, således at overførslerne generelt må anses for begrænsede i omfang</w:t>
      </w:r>
      <w:r w:rsidR="00AB4A29" w:rsidRPr="00DC4F35">
        <w:rPr>
          <w:rFonts w:cstheme="minorHAnsi"/>
        </w:rPr>
        <w:t>.</w:t>
      </w:r>
    </w:p>
    <w:p w14:paraId="2911AD43" w14:textId="77777777" w:rsidR="0036440D" w:rsidRPr="00DC4F35" w:rsidRDefault="0036440D" w:rsidP="0036440D">
      <w:pPr>
        <w:pStyle w:val="ProductList-Body"/>
      </w:pPr>
    </w:p>
    <w:p w14:paraId="2630AA13" w14:textId="52EB8A0B" w:rsidR="0036440D" w:rsidRPr="00DC4F35" w:rsidRDefault="0036440D" w:rsidP="0036440D">
      <w:pPr>
        <w:pStyle w:val="Overskrift2"/>
      </w:pPr>
      <w:bookmarkStart w:id="60" w:name="_Toc170824034"/>
      <w:r w:rsidRPr="00DC4F35">
        <w:t xml:space="preserve">Hvad er varigheden af </w:t>
      </w:r>
      <w:r w:rsidR="007A4C2D" w:rsidRPr="00DC4F35">
        <w:t>overførslerne</w:t>
      </w:r>
      <w:r w:rsidRPr="00DC4F35">
        <w:t>?</w:t>
      </w:r>
      <w:bookmarkEnd w:id="60"/>
    </w:p>
    <w:p w14:paraId="00F291E0" w14:textId="396671EA" w:rsidR="0036440D" w:rsidRPr="00DC4F35" w:rsidRDefault="0036440D" w:rsidP="0036440D">
      <w:pPr>
        <w:rPr>
          <w:rFonts w:cstheme="minorHAnsi"/>
        </w:rPr>
      </w:pPr>
      <w:r w:rsidRPr="00DC4F35">
        <w:rPr>
          <w:rFonts w:cstheme="minorHAnsi"/>
        </w:rPr>
        <w:t xml:space="preserve">Overførslerne kan finde sted i </w:t>
      </w:r>
      <w:r w:rsidR="0064117E" w:rsidRPr="00DC4F35">
        <w:rPr>
          <w:rFonts w:cstheme="minorHAnsi"/>
        </w:rPr>
        <w:t xml:space="preserve">det </w:t>
      </w:r>
      <w:r w:rsidRPr="00DC4F35">
        <w:rPr>
          <w:rFonts w:cstheme="minorHAnsi"/>
        </w:rPr>
        <w:t xml:space="preserve">tidsrum, hvor </w:t>
      </w:r>
      <w:r w:rsidR="00AA7A1A" w:rsidRPr="00DC4F35">
        <w:rPr>
          <w:rFonts w:cstheme="minorHAnsi"/>
        </w:rPr>
        <w:t>De Dataansvarlige</w:t>
      </w:r>
      <w:r w:rsidRPr="00DC4F35">
        <w:rPr>
          <w:rFonts w:cstheme="minorHAnsi"/>
        </w:rPr>
        <w:t xml:space="preserve"> anvender </w:t>
      </w:r>
      <w:r w:rsidR="00AA7A1A" w:rsidRPr="00DC4F35">
        <w:rPr>
          <w:rFonts w:cstheme="minorHAnsi"/>
        </w:rPr>
        <w:t>Microsoft 365</w:t>
      </w:r>
      <w:r w:rsidRPr="00DC4F35">
        <w:rPr>
          <w:rFonts w:cstheme="minorHAnsi"/>
        </w:rPr>
        <w:t>. Det er</w:t>
      </w:r>
      <w:r w:rsidR="004C2400" w:rsidRPr="00DC4F35">
        <w:rPr>
          <w:rFonts w:cstheme="minorHAnsi"/>
        </w:rPr>
        <w:t xml:space="preserve"> på nuværende tidspunkt</w:t>
      </w:r>
      <w:r w:rsidRPr="00DC4F35">
        <w:rPr>
          <w:rFonts w:cstheme="minorHAnsi"/>
        </w:rPr>
        <w:t xml:space="preserve"> ikke muligt for </w:t>
      </w:r>
      <w:r w:rsidR="00AA7A1A" w:rsidRPr="00DC4F35">
        <w:rPr>
          <w:rFonts w:cstheme="minorHAnsi"/>
        </w:rPr>
        <w:t xml:space="preserve">De Dataansvarlige </w:t>
      </w:r>
      <w:r w:rsidRPr="00DC4F35">
        <w:rPr>
          <w:rFonts w:cstheme="minorHAnsi"/>
        </w:rPr>
        <w:t xml:space="preserve">at fastsætte et </w:t>
      </w:r>
      <w:r w:rsidR="0064117E" w:rsidRPr="00DC4F35">
        <w:rPr>
          <w:rFonts w:cstheme="minorHAnsi"/>
        </w:rPr>
        <w:t xml:space="preserve">specifikt </w:t>
      </w:r>
      <w:r w:rsidRPr="00DC4F35">
        <w:rPr>
          <w:rFonts w:cstheme="minorHAnsi"/>
        </w:rPr>
        <w:t>ophørstidspunkt.</w:t>
      </w:r>
      <w:r w:rsidR="0064117E" w:rsidRPr="00DC4F35">
        <w:rPr>
          <w:rFonts w:cstheme="minorHAnsi"/>
        </w:rPr>
        <w:t xml:space="preserve"> Der vil med andre ord løbende kunne forekomme overførsler til tredjelande i form af Microsoft Irelands underdatabehandleres behandling af personoplysninger på De Dataansvarliges vegne i forbindelse med levering af tjenesterne og services (tilsigtede overførsler). </w:t>
      </w:r>
    </w:p>
    <w:p w14:paraId="6E291E7C" w14:textId="77777777" w:rsidR="003F0C1A" w:rsidRPr="00DC4F35" w:rsidRDefault="003F0C1A" w:rsidP="0036440D">
      <w:pPr>
        <w:rPr>
          <w:rFonts w:cstheme="minorHAnsi"/>
        </w:rPr>
      </w:pPr>
    </w:p>
    <w:p w14:paraId="5C64CE50" w14:textId="06B09B8C" w:rsidR="003F0C1A" w:rsidRPr="00DC4F35" w:rsidRDefault="002A7C82" w:rsidP="0036440D">
      <w:pPr>
        <w:rPr>
          <w:rFonts w:cstheme="minorHAnsi"/>
        </w:rPr>
      </w:pPr>
      <w:r w:rsidRPr="00DC4F35">
        <w:rPr>
          <w:rFonts w:cstheme="minorHAnsi"/>
        </w:rPr>
        <w:t>Som det også er nævnt ovenfor</w:t>
      </w:r>
      <w:r w:rsidR="00015B26" w:rsidRPr="00DC4F35">
        <w:rPr>
          <w:rFonts w:cstheme="minorHAnsi"/>
        </w:rPr>
        <w:t>,</w:t>
      </w:r>
      <w:r w:rsidRPr="00DC4F35">
        <w:rPr>
          <w:rFonts w:cstheme="minorHAnsi"/>
        </w:rPr>
        <w:t xml:space="preserve"> har </w:t>
      </w:r>
      <w:r w:rsidR="003F0C1A" w:rsidRPr="00DC4F35">
        <w:rPr>
          <w:rFonts w:cstheme="minorHAnsi"/>
        </w:rPr>
        <w:t xml:space="preserve">Microsoft Ireland </w:t>
      </w:r>
      <w:r w:rsidRPr="00DC4F35">
        <w:rPr>
          <w:rFonts w:cstheme="minorHAnsi"/>
        </w:rPr>
        <w:t xml:space="preserve">i EU Data </w:t>
      </w:r>
      <w:proofErr w:type="spellStart"/>
      <w:r w:rsidRPr="00DC4F35">
        <w:rPr>
          <w:rFonts w:cstheme="minorHAnsi"/>
        </w:rPr>
        <w:t>Boundary</w:t>
      </w:r>
      <w:proofErr w:type="spellEnd"/>
      <w:r w:rsidRPr="00DC4F35">
        <w:rPr>
          <w:rFonts w:cstheme="minorHAnsi"/>
        </w:rPr>
        <w:t xml:space="preserve"> dokumentation anført følgende vedrørende varigheden af </w:t>
      </w:r>
      <w:r w:rsidR="0024399B" w:rsidRPr="00DC4F35">
        <w:rPr>
          <w:rFonts w:cstheme="minorHAnsi"/>
        </w:rPr>
        <w:t xml:space="preserve">overførslerne: </w:t>
      </w:r>
    </w:p>
    <w:p w14:paraId="7B08EF43" w14:textId="77777777" w:rsidR="00D9019F" w:rsidRPr="00DC4F35" w:rsidRDefault="00D9019F" w:rsidP="00D9019F">
      <w:pPr>
        <w:rPr>
          <w:lang w:eastAsia="da-DK"/>
        </w:rPr>
      </w:pPr>
    </w:p>
    <w:p w14:paraId="20CFDEBE" w14:textId="3D997057" w:rsidR="00D9019F" w:rsidRPr="00C83C91" w:rsidRDefault="00B20D6B" w:rsidP="00B072FF">
      <w:pPr>
        <w:ind w:left="1304"/>
        <w:rPr>
          <w:b/>
          <w:bCs/>
          <w:i/>
          <w:iCs/>
          <w:lang w:val="en-US" w:eastAsia="da-DK"/>
        </w:rPr>
      </w:pPr>
      <w:r w:rsidRPr="00C83C91">
        <w:rPr>
          <w:i/>
          <w:iCs/>
          <w:lang w:val="en-US" w:eastAsia="da-DK"/>
        </w:rPr>
        <w:t>“</w:t>
      </w:r>
      <w:r w:rsidR="00D9019F" w:rsidRPr="00C83C91">
        <w:rPr>
          <w:b/>
          <w:bCs/>
          <w:i/>
          <w:iCs/>
          <w:lang w:val="en-US" w:eastAsia="da-DK"/>
        </w:rPr>
        <w:t>How Microsoft protects Customer Data</w:t>
      </w:r>
    </w:p>
    <w:p w14:paraId="61A0ED2C" w14:textId="77777777" w:rsidR="00D9019F" w:rsidRPr="001C19E7" w:rsidRDefault="00D9019F" w:rsidP="00B072FF">
      <w:pPr>
        <w:ind w:left="1304"/>
        <w:rPr>
          <w:i/>
          <w:iCs/>
          <w:lang w:val="en-US" w:eastAsia="da-DK"/>
        </w:rPr>
      </w:pPr>
      <w:r w:rsidRPr="001C19E7">
        <w:rPr>
          <w:i/>
          <w:iCs/>
          <w:lang w:val="en-US" w:eastAsia="da-DK"/>
        </w:rPr>
        <w:lastRenderedPageBreak/>
        <w:t xml:space="preserve">There's no default access to Customer Data; access is provided to Microsoft personnel only when a task requires it. Access to Customer Data must be for an appropriate purpose, must be limited to the amount and type of Customer Data required to achieve the appropriate purpose, and where the purpose can only be achieved through this level of access. </w:t>
      </w:r>
      <w:r w:rsidRPr="001C19E7">
        <w:rPr>
          <w:i/>
          <w:iCs/>
          <w:u w:val="single"/>
          <w:lang w:val="en-US" w:eastAsia="da-DK"/>
        </w:rPr>
        <w:t>Microsoft uses just-in-time (JIT) access approvals which are granted only for as long as is necessary to achieve that purpose.</w:t>
      </w:r>
      <w:r w:rsidRPr="001C19E7">
        <w:rPr>
          <w:i/>
          <w:iCs/>
          <w:lang w:val="en-US" w:eastAsia="da-DK"/>
        </w:rPr>
        <w:t xml:space="preserve"> Microsoft also relies on role-based access control (RBAC), where individual access is subject to strict requirements, such as the need-to-know principle, mandatory continual training, and oversight by one or more managers.</w:t>
      </w:r>
    </w:p>
    <w:p w14:paraId="1FED9474" w14:textId="77777777" w:rsidR="00D9019F" w:rsidRPr="001C19E7" w:rsidRDefault="00D9019F" w:rsidP="00D9019F">
      <w:pPr>
        <w:rPr>
          <w:i/>
          <w:iCs/>
          <w:lang w:val="en-US" w:eastAsia="da-DK"/>
        </w:rPr>
      </w:pPr>
    </w:p>
    <w:p w14:paraId="7D583100" w14:textId="20269A38" w:rsidR="00B20D6B" w:rsidRPr="001C19E7" w:rsidRDefault="00B20D6B" w:rsidP="00D9019F">
      <w:pPr>
        <w:rPr>
          <w:i/>
          <w:iCs/>
          <w:lang w:val="en-US" w:eastAsia="da-DK"/>
        </w:rPr>
      </w:pPr>
      <w:r w:rsidRPr="001C19E7">
        <w:rPr>
          <w:i/>
          <w:iCs/>
          <w:lang w:val="en-US" w:eastAsia="da-DK"/>
        </w:rPr>
        <w:tab/>
        <w:t>[…]</w:t>
      </w:r>
    </w:p>
    <w:p w14:paraId="722D9627" w14:textId="77777777" w:rsidR="00B20D6B" w:rsidRPr="001C19E7" w:rsidRDefault="00B20D6B" w:rsidP="00D9019F">
      <w:pPr>
        <w:rPr>
          <w:i/>
          <w:iCs/>
          <w:lang w:val="en-US" w:eastAsia="da-DK"/>
        </w:rPr>
      </w:pPr>
    </w:p>
    <w:p w14:paraId="7864E05B" w14:textId="03F707A7" w:rsidR="00D9019F" w:rsidRPr="001C19E7" w:rsidRDefault="00D9019F" w:rsidP="00B072FF">
      <w:pPr>
        <w:ind w:left="1304"/>
        <w:rPr>
          <w:b/>
          <w:bCs/>
          <w:i/>
          <w:iCs/>
          <w:lang w:val="en-US" w:eastAsia="da-DK"/>
        </w:rPr>
      </w:pPr>
      <w:r w:rsidRPr="001C19E7">
        <w:rPr>
          <w:b/>
          <w:bCs/>
          <w:i/>
          <w:iCs/>
          <w:lang w:val="en-US" w:eastAsia="da-DK"/>
        </w:rPr>
        <w:t>Service and platform quality and management</w:t>
      </w:r>
    </w:p>
    <w:p w14:paraId="5100086E" w14:textId="77777777" w:rsidR="00D9019F" w:rsidRPr="001C19E7" w:rsidRDefault="00D9019F" w:rsidP="00B072FF">
      <w:pPr>
        <w:ind w:left="1304"/>
        <w:rPr>
          <w:i/>
          <w:iCs/>
          <w:u w:val="single"/>
          <w:lang w:val="en-US" w:eastAsia="da-DK"/>
        </w:rPr>
      </w:pPr>
      <w:r w:rsidRPr="001C19E7">
        <w:rPr>
          <w:i/>
          <w:iCs/>
          <w:lang w:val="en-US" w:eastAsia="da-DK"/>
        </w:rPr>
        <w:t xml:space="preserve">Microsoft personnel may require some pseudonymized personal data from </w:t>
      </w:r>
      <w:proofErr w:type="gramStart"/>
      <w:r w:rsidRPr="001C19E7">
        <w:rPr>
          <w:i/>
          <w:iCs/>
          <w:lang w:val="en-US" w:eastAsia="da-DK"/>
        </w:rPr>
        <w:t>system[</w:t>
      </w:r>
      <w:proofErr w:type="gramEnd"/>
      <w:r w:rsidRPr="001C19E7">
        <w:rPr>
          <w:i/>
          <w:iCs/>
          <w:lang w:val="en-US" w:eastAsia="da-DK"/>
        </w:rPr>
        <w:t xml:space="preserve">1]generated logs to be consolidated globally to ensure the services are running efficiently and to compute and monitor real-time, global quality metrics for the services. A limited amount of pseudonymized personal data such as object IDs or primary unique IDs (PUIDs), can be included in these transfers and are used to address various service operability and management issues. Examples include calculating the number of users affected by a service-impacting event to determine its pervasiveness and severity or calculating monthly active users (MAU) and daily active users (DAU) of the services to ensure billing calculations based on this data are complete and accurate. Pseudonymized personal data transferred for MAU and DAU calculation purposes is retained outside the EU Data Boundary </w:t>
      </w:r>
      <w:r w:rsidRPr="001C19E7">
        <w:rPr>
          <w:i/>
          <w:iCs/>
          <w:u w:val="single"/>
          <w:lang w:val="en-US" w:eastAsia="da-DK"/>
        </w:rPr>
        <w:t>for only as long as needed to compile aggregate analytics.</w:t>
      </w:r>
    </w:p>
    <w:p w14:paraId="09504A18" w14:textId="77777777" w:rsidR="00D9019F" w:rsidRPr="001C19E7" w:rsidRDefault="00D9019F" w:rsidP="00D9019F">
      <w:pPr>
        <w:rPr>
          <w:i/>
          <w:iCs/>
          <w:lang w:val="en-US" w:eastAsia="da-DK"/>
        </w:rPr>
      </w:pPr>
    </w:p>
    <w:p w14:paraId="44BF4DED" w14:textId="50CB6063" w:rsidR="00B20D6B" w:rsidRPr="001C19E7" w:rsidRDefault="00B20D6B" w:rsidP="00D9019F">
      <w:pPr>
        <w:rPr>
          <w:i/>
          <w:iCs/>
          <w:lang w:val="en-US" w:eastAsia="da-DK"/>
        </w:rPr>
      </w:pPr>
      <w:r w:rsidRPr="001C19E7">
        <w:rPr>
          <w:i/>
          <w:iCs/>
          <w:lang w:val="en-US" w:eastAsia="da-DK"/>
        </w:rPr>
        <w:tab/>
        <w:t>[…]</w:t>
      </w:r>
    </w:p>
    <w:p w14:paraId="54FE6B71" w14:textId="77777777" w:rsidR="00B20D6B" w:rsidRPr="001C19E7" w:rsidRDefault="00B20D6B" w:rsidP="00D9019F">
      <w:pPr>
        <w:rPr>
          <w:i/>
          <w:iCs/>
          <w:lang w:val="en-US" w:eastAsia="da-DK"/>
        </w:rPr>
      </w:pPr>
    </w:p>
    <w:p w14:paraId="68371DEF" w14:textId="77777777" w:rsidR="00D9019F" w:rsidRPr="001C19E7" w:rsidRDefault="00D9019F" w:rsidP="00B072FF">
      <w:pPr>
        <w:ind w:left="1304"/>
        <w:rPr>
          <w:b/>
          <w:bCs/>
          <w:i/>
          <w:iCs/>
          <w:lang w:val="en-US" w:eastAsia="da-DK"/>
        </w:rPr>
      </w:pPr>
      <w:r w:rsidRPr="001C19E7">
        <w:rPr>
          <w:b/>
          <w:bCs/>
          <w:i/>
          <w:iCs/>
          <w:lang w:val="en-US" w:eastAsia="da-DK"/>
        </w:rPr>
        <w:t>Exchange online</w:t>
      </w:r>
    </w:p>
    <w:p w14:paraId="258441E7" w14:textId="558DD9A1" w:rsidR="00D9019F" w:rsidRPr="00DC4F35" w:rsidRDefault="00D9019F" w:rsidP="00B072FF">
      <w:pPr>
        <w:ind w:left="1304"/>
        <w:rPr>
          <w:lang w:eastAsia="da-DK"/>
        </w:rPr>
      </w:pPr>
      <w:r w:rsidRPr="001C19E7">
        <w:rPr>
          <w:i/>
          <w:iCs/>
          <w:lang w:val="en-US" w:eastAsia="da-DK"/>
        </w:rPr>
        <w:t xml:space="preserve">Exchange Online transfers some pseudonymized personal data out of the EU Data Boundary for service health monitoring. As part of service operations, when DevOps personnel run queries that combine system-generated data stored inside and outside the EU Data Boundary, </w:t>
      </w:r>
      <w:r w:rsidRPr="001C19E7">
        <w:rPr>
          <w:i/>
          <w:iCs/>
          <w:u w:val="single"/>
          <w:lang w:val="en-US" w:eastAsia="da-DK"/>
        </w:rPr>
        <w:t>transient egress of pseudonymized personal data may occur during the duration of the query runtime</w:t>
      </w:r>
      <w:r w:rsidRPr="001C19E7">
        <w:rPr>
          <w:i/>
          <w:iCs/>
          <w:lang w:val="en-US" w:eastAsia="da-DK"/>
        </w:rPr>
        <w:t>.</w:t>
      </w:r>
      <w:r w:rsidR="00B20D6B" w:rsidRPr="001C19E7">
        <w:rPr>
          <w:i/>
          <w:iCs/>
          <w:lang w:val="en-US" w:eastAsia="da-DK"/>
        </w:rPr>
        <w:t xml:space="preserve">” </w:t>
      </w:r>
      <w:r w:rsidR="00B20D6B" w:rsidRPr="00DC4F35">
        <w:rPr>
          <w:lang w:eastAsia="da-DK"/>
        </w:rPr>
        <w:t>(Vores understregninger).</w:t>
      </w:r>
    </w:p>
    <w:p w14:paraId="5DE0F9DB" w14:textId="77777777" w:rsidR="00D9019F" w:rsidRPr="00DC4F35" w:rsidRDefault="00D9019F" w:rsidP="00D9019F">
      <w:pPr>
        <w:rPr>
          <w:lang w:eastAsia="da-DK"/>
        </w:rPr>
      </w:pPr>
    </w:p>
    <w:p w14:paraId="1ADE3694" w14:textId="15AF7027" w:rsidR="00D9019F" w:rsidRPr="00DC4F35" w:rsidRDefault="00C74156" w:rsidP="00D9019F">
      <w:pPr>
        <w:rPr>
          <w:lang w:eastAsia="da-DK"/>
        </w:rPr>
      </w:pPr>
      <w:r w:rsidRPr="00DC4F35">
        <w:rPr>
          <w:lang w:eastAsia="da-DK"/>
        </w:rPr>
        <w:t>Som det fremgår, anvendes der forskellige metoder med henblik på, at varigheden af overførslerne er så korte som muligt i lyset af formålet med overførslerne.</w:t>
      </w:r>
    </w:p>
    <w:p w14:paraId="79B96075" w14:textId="77777777" w:rsidR="00D9019F" w:rsidRPr="00DC4F35" w:rsidRDefault="00D9019F" w:rsidP="0036440D">
      <w:pPr>
        <w:rPr>
          <w:lang w:eastAsia="da-DK"/>
        </w:rPr>
      </w:pPr>
    </w:p>
    <w:p w14:paraId="5CC5BC29" w14:textId="77777777" w:rsidR="0036440D" w:rsidRPr="00DC4F35" w:rsidRDefault="0036440D" w:rsidP="0036440D">
      <w:pPr>
        <w:pStyle w:val="Overskrift1"/>
      </w:pPr>
      <w:bookmarkStart w:id="61" w:name="_Toc66959788"/>
      <w:bookmarkStart w:id="62" w:name="_Ref164349043"/>
      <w:bookmarkStart w:id="63" w:name="_Toc170824035"/>
      <w:r w:rsidRPr="00DC4F35">
        <w:lastRenderedPageBreak/>
        <w:t>Trin 2: Fastlæg overførselsgrundlaget</w:t>
      </w:r>
      <w:bookmarkEnd w:id="61"/>
      <w:bookmarkEnd w:id="62"/>
      <w:bookmarkEnd w:id="63"/>
    </w:p>
    <w:p w14:paraId="014E63F5" w14:textId="0DBC30DA" w:rsidR="008C0BBA" w:rsidRPr="00DC4F35" w:rsidRDefault="008C0BBA" w:rsidP="008C0BBA">
      <w:r w:rsidRPr="00DC4F35">
        <w:t>Microsoft</w:t>
      </w:r>
      <w:r w:rsidR="00AA6A78" w:rsidRPr="00DC4F35">
        <w:t xml:space="preserve"> Ireland</w:t>
      </w:r>
      <w:r w:rsidRPr="00DC4F35">
        <w:t xml:space="preserve"> kan overføre personoplysninger til en række såkaldt sikre tredjelande</w:t>
      </w:r>
      <w:r w:rsidR="00346FE5" w:rsidRPr="00DC4F35">
        <w:t>, herunder Israel.</w:t>
      </w:r>
      <w:r w:rsidRPr="00DC4F35">
        <w:t xml:space="preserve"> I disse tilfælde udgøres overførselsgrundlaget af databeskyttelsesforordningens artikel 45, stk. 3.</w:t>
      </w:r>
    </w:p>
    <w:p w14:paraId="385B2EA1" w14:textId="77777777" w:rsidR="008C0BBA" w:rsidRPr="00DC4F35" w:rsidRDefault="008C0BBA" w:rsidP="00686F16"/>
    <w:p w14:paraId="28D046FD" w14:textId="50DD553A" w:rsidR="0036440D" w:rsidRPr="00DC4F35" w:rsidRDefault="0036440D" w:rsidP="0036440D">
      <w:pPr>
        <w:rPr>
          <w:rFonts w:cstheme="minorHAnsi"/>
        </w:rPr>
      </w:pPr>
      <w:bookmarkStart w:id="64" w:name="_Hlk149650458"/>
      <w:r w:rsidRPr="00DC4F35">
        <w:rPr>
          <w:iCs/>
        </w:rPr>
        <w:t xml:space="preserve">Microsoft Corporation og </w:t>
      </w:r>
      <w:r w:rsidR="000B7DEA" w:rsidRPr="00DC4F35">
        <w:rPr>
          <w:iCs/>
        </w:rPr>
        <w:t>nogle</w:t>
      </w:r>
      <w:r w:rsidRPr="00DC4F35">
        <w:rPr>
          <w:iCs/>
        </w:rPr>
        <w:t xml:space="preserve"> af Microsofts andre underdatabehandlere </w:t>
      </w:r>
      <w:r w:rsidR="00B842A7" w:rsidRPr="00DC4F35">
        <w:rPr>
          <w:iCs/>
        </w:rPr>
        <w:t xml:space="preserve">etableret i USA </w:t>
      </w:r>
      <w:r w:rsidRPr="00DC4F35">
        <w:rPr>
          <w:iCs/>
        </w:rPr>
        <w:t>er certificeret under ”</w:t>
      </w:r>
      <w:r w:rsidRPr="00DC4F35">
        <w:rPr>
          <w:i/>
        </w:rPr>
        <w:t xml:space="preserve">EU-U.S. Data </w:t>
      </w:r>
      <w:proofErr w:type="spellStart"/>
      <w:r w:rsidRPr="00DC4F35">
        <w:rPr>
          <w:i/>
        </w:rPr>
        <w:t>Privacy</w:t>
      </w:r>
      <w:proofErr w:type="spellEnd"/>
      <w:r w:rsidRPr="00DC4F35">
        <w:rPr>
          <w:i/>
        </w:rPr>
        <w:t xml:space="preserve"> Framework</w:t>
      </w:r>
      <w:r w:rsidRPr="00DC4F35">
        <w:rPr>
          <w:iCs/>
        </w:rPr>
        <w:t xml:space="preserve">”. EU-Kommissionen har den 10. juli 2023 truffet afgørelse om, at </w:t>
      </w:r>
      <w:r w:rsidRPr="00DC4F35">
        <w:t xml:space="preserve">EU-U.S. Data </w:t>
      </w:r>
      <w:proofErr w:type="spellStart"/>
      <w:r w:rsidRPr="00DC4F35">
        <w:t>Privacy</w:t>
      </w:r>
      <w:proofErr w:type="spellEnd"/>
      <w:r w:rsidRPr="00DC4F35">
        <w:t xml:space="preserve"> Framework</w:t>
      </w:r>
      <w:r w:rsidRPr="00DC4F35">
        <w:rPr>
          <w:iCs/>
        </w:rPr>
        <w:t xml:space="preserve"> sikrer et tilstrækkeligt beskyttelsesniveau i forbindelse med overførsel af personoplysninger fra EU til USA, jf. databeskyttelsesforordningens artikel 45, stk. 3</w:t>
      </w:r>
      <w:r w:rsidRPr="00DC4F35">
        <w:rPr>
          <w:rStyle w:val="Fodnotehenvisning"/>
          <w:iCs/>
        </w:rPr>
        <w:footnoteReference w:id="26"/>
      </w:r>
      <w:r w:rsidRPr="00DC4F35">
        <w:rPr>
          <w:iCs/>
        </w:rPr>
        <w:t xml:space="preserve"> (herefter ”tiltrækkelighedsafgørelse</w:t>
      </w:r>
      <w:r w:rsidR="00B842A7" w:rsidRPr="00DC4F35">
        <w:rPr>
          <w:iCs/>
        </w:rPr>
        <w:t>n</w:t>
      </w:r>
      <w:r w:rsidRPr="00DC4F35">
        <w:rPr>
          <w:iCs/>
        </w:rPr>
        <w:t>”). Tilstrækkelighedsafgørelsen medfører, at overførsler, der sker til Microsoft Corporation og de øvrige certificerede underdatabehandlere</w:t>
      </w:r>
      <w:r w:rsidR="00B842A7" w:rsidRPr="00DC4F35">
        <w:rPr>
          <w:iCs/>
        </w:rPr>
        <w:t xml:space="preserve"> etableret i USA</w:t>
      </w:r>
      <w:r w:rsidRPr="00DC4F35">
        <w:rPr>
          <w:iCs/>
        </w:rPr>
        <w:t>, sker til et s</w:t>
      </w:r>
      <w:r w:rsidRPr="00DC4F35">
        <w:rPr>
          <w:rFonts w:cstheme="minorHAnsi"/>
        </w:rPr>
        <w:t>ikkert tredjeland/sikkert område/sektor i tredjelandet og derfor i udgangspunktet kan baseres på tilstrækkelighedsafgørelsen. Microsoft</w:t>
      </w:r>
      <w:r w:rsidR="00AA6A78" w:rsidRPr="00DC4F35">
        <w:rPr>
          <w:rFonts w:cstheme="minorHAnsi"/>
        </w:rPr>
        <w:t xml:space="preserve"> Ireland</w:t>
      </w:r>
      <w:r w:rsidRPr="00DC4F35">
        <w:rPr>
          <w:rFonts w:cstheme="minorHAnsi"/>
        </w:rPr>
        <w:t xml:space="preserve"> henviser eksplicit til, at Microsoft er certificeret under </w:t>
      </w:r>
      <w:r w:rsidRPr="00DC4F35">
        <w:t xml:space="preserve">EU-U.S. Data </w:t>
      </w:r>
      <w:proofErr w:type="spellStart"/>
      <w:r w:rsidRPr="00DC4F35">
        <w:t>Privacy</w:t>
      </w:r>
      <w:proofErr w:type="spellEnd"/>
      <w:r w:rsidRPr="00DC4F35">
        <w:t xml:space="preserve"> Framework i sin databehandleraftale.</w:t>
      </w:r>
    </w:p>
    <w:p w14:paraId="5940266F" w14:textId="77777777" w:rsidR="0036440D" w:rsidRPr="00DC4F35" w:rsidRDefault="0036440D" w:rsidP="0036440D">
      <w:pPr>
        <w:rPr>
          <w:rFonts w:cstheme="minorHAnsi"/>
        </w:rPr>
      </w:pPr>
    </w:p>
    <w:p w14:paraId="1715E0CF" w14:textId="0CFA8706" w:rsidR="009B4A87" w:rsidRPr="00DC4F35" w:rsidRDefault="0036440D" w:rsidP="0036440D">
      <w:pPr>
        <w:rPr>
          <w:iCs/>
        </w:rPr>
      </w:pPr>
      <w:r w:rsidRPr="00DC4F35">
        <w:rPr>
          <w:rFonts w:cstheme="minorHAnsi"/>
        </w:rPr>
        <w:t>Det skal til ovenstående dog bemærkes, at f</w:t>
      </w:r>
      <w:r w:rsidRPr="00DC4F35">
        <w:t>lere af Microsoft</w:t>
      </w:r>
      <w:r w:rsidR="005B0250" w:rsidRPr="00DC4F35">
        <w:t xml:space="preserve"> Irelands</w:t>
      </w:r>
      <w:r w:rsidRPr="00DC4F35">
        <w:t xml:space="preserve"> underdatabehandlere</w:t>
      </w:r>
      <w:r w:rsidR="00B842A7" w:rsidRPr="00DC4F35">
        <w:t xml:space="preserve"> etableret i USA</w:t>
      </w:r>
      <w:r w:rsidRPr="00DC4F35">
        <w:t xml:space="preserve"> ikke er certificeret under EU-U.S. Data </w:t>
      </w:r>
      <w:proofErr w:type="spellStart"/>
      <w:r w:rsidRPr="00DC4F35">
        <w:t>Privacy</w:t>
      </w:r>
      <w:proofErr w:type="spellEnd"/>
      <w:r w:rsidRPr="00DC4F35">
        <w:t xml:space="preserve"> Framework</w:t>
      </w:r>
      <w:bookmarkEnd w:id="64"/>
      <w:r w:rsidRPr="00DC4F35">
        <w:t>, hvorfor overførsler til disse parter ikke</w:t>
      </w:r>
      <w:r w:rsidR="00906EF9" w:rsidRPr="00DC4F35">
        <w:t xml:space="preserve"> direkte</w:t>
      </w:r>
      <w:r w:rsidRPr="00DC4F35">
        <w:t xml:space="preserve"> kan baseres på tilstrækkelighedsafgørelsen. </w:t>
      </w:r>
      <w:r w:rsidRPr="00DC4F35">
        <w:rPr>
          <w:rFonts w:cstheme="minorHAnsi"/>
          <w:iCs/>
        </w:rPr>
        <w:t xml:space="preserve">Det relevante overførselsgrundlag i disse henseender </w:t>
      </w:r>
      <w:r w:rsidRPr="00DC4F35">
        <w:rPr>
          <w:iCs/>
        </w:rPr>
        <w:t xml:space="preserve">skal derfor udgøres af EU-Kommissionens standardkontraktbestemmelser af 2021, jf. databeskyttelsesforordningens artikel 46, stk. 2, litra c. </w:t>
      </w:r>
      <w:bookmarkStart w:id="65" w:name="_Hlk152591503"/>
    </w:p>
    <w:p w14:paraId="48697D97" w14:textId="77777777" w:rsidR="009B4A87" w:rsidRPr="00DC4F35" w:rsidRDefault="009B4A87" w:rsidP="0036440D">
      <w:pPr>
        <w:rPr>
          <w:iCs/>
        </w:rPr>
      </w:pPr>
    </w:p>
    <w:p w14:paraId="0D0F57F4" w14:textId="7D79300A" w:rsidR="0036440D" w:rsidRPr="00DC4F35" w:rsidRDefault="00255B0F" w:rsidP="0036440D">
      <w:r w:rsidRPr="00DC4F35">
        <w:rPr>
          <w:iCs/>
        </w:rPr>
        <w:t>Tilsvarende gælder overførsler til øvrige usikre tredjelande uden for USA</w:t>
      </w:r>
      <w:bookmarkEnd w:id="65"/>
      <w:r w:rsidRPr="00DC4F35">
        <w:rPr>
          <w:iCs/>
        </w:rPr>
        <w:t xml:space="preserve">. </w:t>
      </w:r>
      <w:r w:rsidR="0036440D" w:rsidRPr="00DC4F35">
        <w:rPr>
          <w:rFonts w:cstheme="minorHAnsi"/>
        </w:rPr>
        <w:t xml:space="preserve">Se nærmere herom i denne </w:t>
      </w:r>
      <w:proofErr w:type="spellStart"/>
      <w:r w:rsidR="0036440D" w:rsidRPr="00DC4F35">
        <w:rPr>
          <w:rFonts w:cstheme="minorHAnsi"/>
        </w:rPr>
        <w:t>TIA’s</w:t>
      </w:r>
      <w:proofErr w:type="spellEnd"/>
      <w:r w:rsidR="0036440D" w:rsidRPr="00DC4F35">
        <w:rPr>
          <w:rFonts w:cstheme="minorHAnsi"/>
        </w:rPr>
        <w:t xml:space="preserve"> trin 5</w:t>
      </w:r>
      <w:r w:rsidR="00F763B8" w:rsidRPr="00DC4F35">
        <w:rPr>
          <w:rFonts w:cstheme="minorHAnsi"/>
        </w:rPr>
        <w:t xml:space="preserve"> straks nedenfor.</w:t>
      </w:r>
      <w:r w:rsidR="0036440D" w:rsidRPr="00DC4F35">
        <w:rPr>
          <w:rFonts w:cstheme="minorHAnsi"/>
        </w:rPr>
        <w:t xml:space="preserve"> </w:t>
      </w:r>
    </w:p>
    <w:p w14:paraId="20ADE723" w14:textId="77777777" w:rsidR="0036440D" w:rsidRPr="00DC4F35" w:rsidRDefault="0036440D" w:rsidP="0036440D">
      <w:pPr>
        <w:rPr>
          <w:lang w:eastAsia="da-DK"/>
        </w:rPr>
      </w:pPr>
    </w:p>
    <w:p w14:paraId="4A88E5BB" w14:textId="5A4E450C" w:rsidR="0036440D" w:rsidRPr="00DC4F35" w:rsidRDefault="0036440D" w:rsidP="0036440D">
      <w:pPr>
        <w:pStyle w:val="Overskrift1"/>
      </w:pPr>
      <w:bookmarkStart w:id="66" w:name="_Toc66959789"/>
      <w:bookmarkStart w:id="67" w:name="_Toc170824036"/>
      <w:r w:rsidRPr="00DC4F35">
        <w:t>trin 3: Vurdér</w:t>
      </w:r>
      <w:r w:rsidR="00725872" w:rsidRPr="00DC4F35">
        <w:t>,</w:t>
      </w:r>
      <w:r w:rsidRPr="00DC4F35">
        <w:t xml:space="preserve"> om det valgte overførselsværktøj i artikel 46 er effektivt i lyset af omstændighederne vedrørende </w:t>
      </w:r>
      <w:bookmarkEnd w:id="66"/>
      <w:r w:rsidR="002E5844" w:rsidRPr="00DC4F35">
        <w:t>overførslerne</w:t>
      </w:r>
      <w:bookmarkEnd w:id="67"/>
      <w:r w:rsidRPr="00DC4F35">
        <w:t xml:space="preserve"> </w:t>
      </w:r>
    </w:p>
    <w:p w14:paraId="0A578EC5" w14:textId="04675698" w:rsidR="00467806" w:rsidRPr="00DC4F35" w:rsidRDefault="00467806" w:rsidP="00686F16">
      <w:pPr>
        <w:pStyle w:val="Overskrift2"/>
        <w:rPr>
          <w:lang w:eastAsia="da-DK"/>
        </w:rPr>
      </w:pPr>
      <w:bookmarkStart w:id="68" w:name="_Toc170824037"/>
      <w:r w:rsidRPr="00DC4F35">
        <w:rPr>
          <w:lang w:eastAsia="da-DK"/>
        </w:rPr>
        <w:t>Indledning</w:t>
      </w:r>
      <w:bookmarkEnd w:id="68"/>
    </w:p>
    <w:p w14:paraId="04DF35F8" w14:textId="5B9FA00B" w:rsidR="00467806" w:rsidRPr="00DC4F35" w:rsidRDefault="005F2796" w:rsidP="0036440D">
      <w:pPr>
        <w:rPr>
          <w:lang w:eastAsia="da-DK"/>
        </w:rPr>
      </w:pPr>
      <w:r w:rsidRPr="00DC4F35">
        <w:rPr>
          <w:lang w:eastAsia="da-DK"/>
        </w:rPr>
        <w:t xml:space="preserve">Ved brugen af Microsoft 365 vil De Dataansvarlige kunne overføre personoplysninger til en række forskellige tredjelande. Det gælder følgende: </w:t>
      </w:r>
    </w:p>
    <w:p w14:paraId="6EC0D4CE" w14:textId="77777777" w:rsidR="005F2796" w:rsidRPr="00DC4F35" w:rsidRDefault="005F2796" w:rsidP="0036440D">
      <w:pPr>
        <w:rPr>
          <w:lang w:eastAsia="da-DK"/>
        </w:rPr>
      </w:pPr>
    </w:p>
    <w:p w14:paraId="750ECEA3" w14:textId="5A6603AD" w:rsidR="005F2796" w:rsidRPr="00DC4F35" w:rsidRDefault="005F2796" w:rsidP="005F2796">
      <w:pPr>
        <w:pStyle w:val="Listeafsnit"/>
        <w:numPr>
          <w:ilvl w:val="0"/>
          <w:numId w:val="59"/>
        </w:numPr>
        <w:rPr>
          <w:lang w:eastAsia="da-DK"/>
        </w:rPr>
      </w:pPr>
      <w:r w:rsidRPr="00DC4F35">
        <w:rPr>
          <w:lang w:eastAsia="da-DK"/>
        </w:rPr>
        <w:t>Overførsler til sikre tredjelande</w:t>
      </w:r>
    </w:p>
    <w:p w14:paraId="5BD07A86" w14:textId="225ACB79" w:rsidR="005F2796" w:rsidRPr="00DC4F35" w:rsidRDefault="005F2796" w:rsidP="005F2796">
      <w:pPr>
        <w:pStyle w:val="Listeafsnit"/>
        <w:numPr>
          <w:ilvl w:val="0"/>
          <w:numId w:val="59"/>
        </w:numPr>
        <w:rPr>
          <w:lang w:eastAsia="da-DK"/>
        </w:rPr>
      </w:pPr>
      <w:r w:rsidRPr="00DC4F35">
        <w:rPr>
          <w:lang w:eastAsia="da-DK"/>
        </w:rPr>
        <w:t>Overførsler til USA</w:t>
      </w:r>
    </w:p>
    <w:p w14:paraId="3E541127" w14:textId="20671B4F" w:rsidR="005F2796" w:rsidRPr="00DC4F35" w:rsidRDefault="005F2796" w:rsidP="00686F16">
      <w:pPr>
        <w:pStyle w:val="Listeafsnit"/>
        <w:numPr>
          <w:ilvl w:val="0"/>
          <w:numId w:val="59"/>
        </w:numPr>
        <w:rPr>
          <w:lang w:eastAsia="da-DK"/>
        </w:rPr>
      </w:pPr>
      <w:r w:rsidRPr="00DC4F35">
        <w:rPr>
          <w:lang w:eastAsia="da-DK"/>
        </w:rPr>
        <w:lastRenderedPageBreak/>
        <w:t xml:space="preserve">Overførsler til </w:t>
      </w:r>
      <w:r w:rsidR="00AC1AC3" w:rsidRPr="00DC4F35">
        <w:rPr>
          <w:lang w:eastAsia="da-DK"/>
        </w:rPr>
        <w:t xml:space="preserve">øvrige </w:t>
      </w:r>
      <w:r w:rsidRPr="00DC4F35">
        <w:rPr>
          <w:lang w:eastAsia="da-DK"/>
        </w:rPr>
        <w:t>usikre tredjelande</w:t>
      </w:r>
      <w:r w:rsidR="00AC1AC3" w:rsidRPr="00DC4F35">
        <w:rPr>
          <w:lang w:eastAsia="da-DK"/>
        </w:rPr>
        <w:t>.</w:t>
      </w:r>
    </w:p>
    <w:p w14:paraId="768BEBAA" w14:textId="77777777" w:rsidR="00467806" w:rsidRPr="00DC4F35" w:rsidRDefault="00467806" w:rsidP="0036440D">
      <w:pPr>
        <w:rPr>
          <w:lang w:eastAsia="da-DK"/>
        </w:rPr>
      </w:pPr>
    </w:p>
    <w:p w14:paraId="4C67F0C2" w14:textId="08213265" w:rsidR="003E36FF" w:rsidRPr="00DC4F35" w:rsidRDefault="003E36FF" w:rsidP="003E36FF">
      <w:pPr>
        <w:rPr>
          <w:lang w:eastAsia="da-DK"/>
        </w:rPr>
      </w:pPr>
      <w:r w:rsidRPr="00DC4F35">
        <w:rPr>
          <w:lang w:eastAsia="da-DK"/>
        </w:rPr>
        <w:t xml:space="preserve">De Dataansvarlige er i det omfang, at de relevante overførsler skal baseres </w:t>
      </w:r>
      <w:r w:rsidRPr="00DC4F35">
        <w:rPr>
          <w:rFonts w:cstheme="minorHAnsi"/>
        </w:rPr>
        <w:t xml:space="preserve">på </w:t>
      </w:r>
      <w:r w:rsidRPr="00DC4F35">
        <w:rPr>
          <w:iCs/>
        </w:rPr>
        <w:t xml:space="preserve">EU-Kommissionens standardkontraktbestemmelser af 2021, jf. databeskyttelsesforordningens artikel 46, stk. 2, litra c (se nærmere herom ovenfor) forpligtet til at vurdere, om EU-Kommissionens standardkontraktbestemmelser i sig selv er tilstrækkelige, eller hvorvidt der skal fastsættes supplerende foranstaltninger, jf. EU-Domstolens dom af </w:t>
      </w:r>
      <w:r w:rsidR="00B24FEB" w:rsidRPr="00DC4F35">
        <w:rPr>
          <w:iCs/>
        </w:rPr>
        <w:t>16. juli 2020</w:t>
      </w:r>
      <w:r w:rsidRPr="00DC4F35">
        <w:rPr>
          <w:iCs/>
        </w:rPr>
        <w:t xml:space="preserve"> i </w:t>
      </w:r>
      <w:r w:rsidR="00B24FEB" w:rsidRPr="00DC4F35">
        <w:rPr>
          <w:lang w:eastAsia="da-DK"/>
        </w:rPr>
        <w:t>sag</w:t>
      </w:r>
      <w:r w:rsidRPr="00DC4F35">
        <w:rPr>
          <w:lang w:eastAsia="da-DK"/>
        </w:rPr>
        <w:t xml:space="preserve"> </w:t>
      </w:r>
      <w:r w:rsidR="00B24FEB" w:rsidRPr="00DC4F35">
        <w:rPr>
          <w:lang w:eastAsia="da-DK"/>
        </w:rPr>
        <w:t xml:space="preserve">C-311/18 (den såkaldte </w:t>
      </w:r>
      <w:proofErr w:type="spellStart"/>
      <w:r w:rsidRPr="00DC4F35">
        <w:rPr>
          <w:lang w:eastAsia="da-DK"/>
        </w:rPr>
        <w:t>Schrems</w:t>
      </w:r>
      <w:proofErr w:type="spellEnd"/>
      <w:r w:rsidRPr="00DC4F35">
        <w:rPr>
          <w:lang w:eastAsia="da-DK"/>
        </w:rPr>
        <w:t xml:space="preserve"> II-sag</w:t>
      </w:r>
      <w:r w:rsidR="00B24FEB" w:rsidRPr="00DC4F35">
        <w:rPr>
          <w:lang w:eastAsia="da-DK"/>
        </w:rPr>
        <w:t>).</w:t>
      </w:r>
      <w:r w:rsidRPr="00DC4F35">
        <w:rPr>
          <w:iCs/>
        </w:rPr>
        <w:t xml:space="preserve"> Den nærmere vurdering af, hvorvidt dette overførselsværktøj er effektivt, afhænger af</w:t>
      </w:r>
      <w:r w:rsidR="00B35E55" w:rsidRPr="00DC4F35">
        <w:rPr>
          <w:iCs/>
        </w:rPr>
        <w:t>,</w:t>
      </w:r>
      <w:r w:rsidRPr="00DC4F35">
        <w:rPr>
          <w:iCs/>
        </w:rPr>
        <w:t xml:space="preserve"> hvilket modtagerland der overføres personoplysninger til, herunder om </w:t>
      </w:r>
      <w:r w:rsidRPr="00DC4F35">
        <w:rPr>
          <w:rFonts w:cstheme="minorHAnsi"/>
        </w:rPr>
        <w:t>modtagerlandet i praksis sikrer en tilstrækkelig beskyttelse af de registreredes rettigheder og frihedsrettigheder, der i det væsentlige svarer til beskyttelsen efter databeskyttelsesforordningen læst i lyset af EU-Charteret</w:t>
      </w:r>
      <w:r w:rsidRPr="00DC4F35">
        <w:rPr>
          <w:iCs/>
        </w:rPr>
        <w:t xml:space="preserve">. De Dataansvarlige vil i det følgende behandle dette spørgsmål for henholdsvis overførsler til USA og overførsler til andre </w:t>
      </w:r>
      <w:r w:rsidR="006E3061" w:rsidRPr="00DC4F35">
        <w:rPr>
          <w:iCs/>
        </w:rPr>
        <w:t xml:space="preserve">usikre </w:t>
      </w:r>
      <w:r w:rsidRPr="00DC4F35">
        <w:rPr>
          <w:iCs/>
        </w:rPr>
        <w:t xml:space="preserve">tredjelande end USA. </w:t>
      </w:r>
    </w:p>
    <w:p w14:paraId="37305BAE" w14:textId="77777777" w:rsidR="003E36FF" w:rsidRPr="00DC4F35" w:rsidRDefault="003E36FF" w:rsidP="0036440D">
      <w:pPr>
        <w:rPr>
          <w:lang w:eastAsia="da-DK"/>
        </w:rPr>
      </w:pPr>
    </w:p>
    <w:p w14:paraId="3AFB01E4" w14:textId="716F8E87" w:rsidR="005F2796" w:rsidRPr="00DC4F35" w:rsidRDefault="005F2796" w:rsidP="00686F16">
      <w:pPr>
        <w:pStyle w:val="Overskrift2"/>
        <w:rPr>
          <w:lang w:eastAsia="da-DK"/>
        </w:rPr>
      </w:pPr>
      <w:bookmarkStart w:id="69" w:name="_Toc170824038"/>
      <w:r w:rsidRPr="00DC4F35">
        <w:rPr>
          <w:lang w:eastAsia="da-DK"/>
        </w:rPr>
        <w:t>Overførsler til sikre tredjelande</w:t>
      </w:r>
      <w:bookmarkEnd w:id="69"/>
    </w:p>
    <w:p w14:paraId="39B4E025" w14:textId="22922E21" w:rsidR="005F2796" w:rsidRPr="00DC4F35" w:rsidRDefault="00904BB6" w:rsidP="0036440D">
      <w:pPr>
        <w:rPr>
          <w:lang w:eastAsia="da-DK"/>
        </w:rPr>
      </w:pPr>
      <w:r w:rsidRPr="00DC4F35">
        <w:rPr>
          <w:lang w:eastAsia="da-DK"/>
        </w:rPr>
        <w:t xml:space="preserve">Den påtænkte brug af Microsoft 365 kan indebære overførsler af personoplysninger til sikre tredjelande, herunder </w:t>
      </w:r>
      <w:r w:rsidR="004B0C74" w:rsidRPr="00DC4F35">
        <w:rPr>
          <w:lang w:eastAsia="da-DK"/>
        </w:rPr>
        <w:t xml:space="preserve">Israel. </w:t>
      </w:r>
      <w:r w:rsidRPr="00DC4F35">
        <w:rPr>
          <w:lang w:eastAsia="da-DK"/>
        </w:rPr>
        <w:t>I disse tilfælde kan De Dataansvarlige lovligt overføre personoplysninger til disse sikre tredjelande i medfør af databeskyttelsesforordningens artikel 45, stk. 3</w:t>
      </w:r>
      <w:r w:rsidR="00AB486E" w:rsidRPr="00DC4F35">
        <w:rPr>
          <w:lang w:eastAsia="da-DK"/>
        </w:rPr>
        <w:t>, uden fastsættelse af supplerende foranstaltninger.</w:t>
      </w:r>
    </w:p>
    <w:p w14:paraId="7E818CE1" w14:textId="77777777" w:rsidR="0036440D" w:rsidRPr="00DC4F35" w:rsidRDefault="0036440D" w:rsidP="0036440D">
      <w:pPr>
        <w:rPr>
          <w:lang w:eastAsia="da-DK"/>
        </w:rPr>
      </w:pPr>
    </w:p>
    <w:p w14:paraId="4B068CAC" w14:textId="77777777" w:rsidR="0036440D" w:rsidRPr="00DC4F35" w:rsidRDefault="0036440D" w:rsidP="0036440D">
      <w:pPr>
        <w:pStyle w:val="Overskrift2"/>
      </w:pPr>
      <w:bookmarkStart w:id="70" w:name="_Ref165144248"/>
      <w:bookmarkStart w:id="71" w:name="_Ref165322121"/>
      <w:bookmarkStart w:id="72" w:name="_Toc170824039"/>
      <w:r w:rsidRPr="00DC4F35">
        <w:t>Overførsler til USA</w:t>
      </w:r>
      <w:bookmarkEnd w:id="70"/>
      <w:bookmarkEnd w:id="71"/>
      <w:bookmarkEnd w:id="72"/>
    </w:p>
    <w:p w14:paraId="554F8E4E" w14:textId="4DF4B4C6" w:rsidR="0036440D" w:rsidRPr="00DC4F35" w:rsidRDefault="00AA7A1A" w:rsidP="0036440D">
      <w:r w:rsidRPr="00DC4F35">
        <w:rPr>
          <w:lang w:eastAsia="da-DK"/>
        </w:rPr>
        <w:t xml:space="preserve">De Dataansvarlige </w:t>
      </w:r>
      <w:r w:rsidR="0036440D" w:rsidRPr="00DC4F35">
        <w:rPr>
          <w:lang w:eastAsia="da-DK"/>
        </w:rPr>
        <w:t xml:space="preserve">kan på baggrund af gennemgangen i afsnit </w:t>
      </w:r>
      <w:r w:rsidR="005903C5" w:rsidRPr="00DC4F35">
        <w:rPr>
          <w:lang w:eastAsia="da-DK"/>
        </w:rPr>
        <w:fldChar w:fldCharType="begin"/>
      </w:r>
      <w:r w:rsidR="005903C5" w:rsidRPr="00DC4F35">
        <w:rPr>
          <w:lang w:eastAsia="da-DK"/>
        </w:rPr>
        <w:instrText xml:space="preserve"> REF _Ref167277947 \r \h </w:instrText>
      </w:r>
      <w:r w:rsidR="005903C5" w:rsidRPr="00DC4F35">
        <w:rPr>
          <w:lang w:eastAsia="da-DK"/>
        </w:rPr>
      </w:r>
      <w:r w:rsidR="005903C5" w:rsidRPr="00DC4F35">
        <w:rPr>
          <w:lang w:eastAsia="da-DK"/>
        </w:rPr>
        <w:fldChar w:fldCharType="separate"/>
      </w:r>
      <w:r w:rsidR="00C05EBE">
        <w:rPr>
          <w:lang w:eastAsia="da-DK"/>
        </w:rPr>
        <w:t>3.1</w:t>
      </w:r>
      <w:r w:rsidR="005903C5" w:rsidRPr="00DC4F35">
        <w:rPr>
          <w:lang w:eastAsia="da-DK"/>
        </w:rPr>
        <w:fldChar w:fldCharType="end"/>
      </w:r>
      <w:r w:rsidR="00A70A56" w:rsidRPr="00DC4F35">
        <w:rPr>
          <w:lang w:eastAsia="da-DK"/>
        </w:rPr>
        <w:t xml:space="preserve"> og afsnit </w:t>
      </w:r>
      <w:r w:rsidR="00A70A56" w:rsidRPr="00DC4F35">
        <w:rPr>
          <w:lang w:eastAsia="da-DK"/>
        </w:rPr>
        <w:fldChar w:fldCharType="begin"/>
      </w:r>
      <w:r w:rsidR="00A70A56" w:rsidRPr="00DC4F35">
        <w:rPr>
          <w:lang w:eastAsia="da-DK"/>
        </w:rPr>
        <w:instrText xml:space="preserve"> REF _Ref164349043 \r \h </w:instrText>
      </w:r>
      <w:r w:rsidR="00A70A56" w:rsidRPr="00DC4F35">
        <w:rPr>
          <w:lang w:eastAsia="da-DK"/>
        </w:rPr>
      </w:r>
      <w:r w:rsidR="00A70A56" w:rsidRPr="00DC4F35">
        <w:rPr>
          <w:lang w:eastAsia="da-DK"/>
        </w:rPr>
        <w:fldChar w:fldCharType="separate"/>
      </w:r>
      <w:r w:rsidR="00C05EBE">
        <w:rPr>
          <w:lang w:eastAsia="da-DK"/>
        </w:rPr>
        <w:t>4</w:t>
      </w:r>
      <w:r w:rsidR="00A70A56" w:rsidRPr="00DC4F35">
        <w:rPr>
          <w:lang w:eastAsia="da-DK"/>
        </w:rPr>
        <w:fldChar w:fldCharType="end"/>
      </w:r>
      <w:r w:rsidR="0036440D" w:rsidRPr="00DC4F35">
        <w:rPr>
          <w:lang w:eastAsia="da-DK"/>
        </w:rPr>
        <w:t xml:space="preserve"> ikke afvise, at der kan forekomme overførsler til underdatabehandlere i USA, der ikke er certificeret </w:t>
      </w:r>
      <w:r w:rsidR="0078034C" w:rsidRPr="00DC4F35">
        <w:rPr>
          <w:lang w:eastAsia="da-DK"/>
        </w:rPr>
        <w:t xml:space="preserve">under </w:t>
      </w:r>
      <w:r w:rsidR="0036440D" w:rsidRPr="00DC4F35">
        <w:t xml:space="preserve">EU-U.S. Data </w:t>
      </w:r>
      <w:proofErr w:type="spellStart"/>
      <w:r w:rsidR="0036440D" w:rsidRPr="00DC4F35">
        <w:t>Privacy</w:t>
      </w:r>
      <w:proofErr w:type="spellEnd"/>
      <w:r w:rsidR="0036440D" w:rsidRPr="00DC4F35">
        <w:t xml:space="preserve"> Framework. </w:t>
      </w:r>
    </w:p>
    <w:p w14:paraId="68132EC9" w14:textId="77777777" w:rsidR="0036440D" w:rsidRPr="00DC4F35" w:rsidRDefault="0036440D" w:rsidP="0036440D"/>
    <w:p w14:paraId="42F6B6CD" w14:textId="2D0FCEF2" w:rsidR="0036440D" w:rsidRPr="00DC4F35" w:rsidRDefault="0036440D" w:rsidP="0036440D">
      <w:pPr>
        <w:rPr>
          <w:rFonts w:cstheme="minorHAnsi"/>
        </w:rPr>
      </w:pPr>
      <w:r w:rsidRPr="00DC4F35">
        <w:t>Om overførsler til</w:t>
      </w:r>
      <w:r w:rsidR="00C67AAC" w:rsidRPr="00DC4F35">
        <w:t xml:space="preserve"> sådanne</w:t>
      </w:r>
      <w:r w:rsidRPr="00DC4F35">
        <w:t xml:space="preserve"> aktører i USA, der ikke er </w:t>
      </w:r>
      <w:r w:rsidR="00C67AAC" w:rsidRPr="00DC4F35">
        <w:t>certificerede</w:t>
      </w:r>
      <w:r w:rsidR="00C63A75" w:rsidRPr="00DC4F35">
        <w:t>,</w:t>
      </w:r>
      <w:r w:rsidR="00C67AAC" w:rsidRPr="00DC4F35">
        <w:t xml:space="preserve"> </w:t>
      </w:r>
      <w:r w:rsidRPr="00DC4F35">
        <w:t>har EDPB</w:t>
      </w:r>
      <w:r w:rsidRPr="00DC4F35">
        <w:rPr>
          <w:rFonts w:cstheme="minorHAnsi"/>
        </w:rPr>
        <w:t xml:space="preserve"> i ”</w:t>
      </w:r>
      <w:r w:rsidRPr="00DC4F35">
        <w:rPr>
          <w:rFonts w:cstheme="minorHAnsi"/>
          <w:i/>
          <w:iCs/>
        </w:rPr>
        <w:t xml:space="preserve">Information note on data transfers under the GDPR to the United States </w:t>
      </w:r>
      <w:proofErr w:type="spellStart"/>
      <w:r w:rsidRPr="00DC4F35">
        <w:rPr>
          <w:rFonts w:cstheme="minorHAnsi"/>
          <w:i/>
          <w:iCs/>
        </w:rPr>
        <w:t>after</w:t>
      </w:r>
      <w:proofErr w:type="spellEnd"/>
      <w:r w:rsidRPr="00DC4F35">
        <w:rPr>
          <w:rFonts w:cstheme="minorHAnsi"/>
          <w:i/>
          <w:iCs/>
        </w:rPr>
        <w:t xml:space="preserve"> the adoption of the </w:t>
      </w:r>
      <w:proofErr w:type="spellStart"/>
      <w:r w:rsidRPr="00DC4F35">
        <w:rPr>
          <w:rFonts w:cstheme="minorHAnsi"/>
          <w:i/>
          <w:iCs/>
        </w:rPr>
        <w:t>adequacy</w:t>
      </w:r>
      <w:proofErr w:type="spellEnd"/>
      <w:r w:rsidRPr="00DC4F35">
        <w:rPr>
          <w:rFonts w:cstheme="minorHAnsi"/>
          <w:i/>
          <w:iCs/>
        </w:rPr>
        <w:t xml:space="preserve"> decision on 10 </w:t>
      </w:r>
      <w:proofErr w:type="spellStart"/>
      <w:r w:rsidRPr="00DC4F35">
        <w:rPr>
          <w:rFonts w:cstheme="minorHAnsi"/>
          <w:i/>
          <w:iCs/>
        </w:rPr>
        <w:t>July</w:t>
      </w:r>
      <w:proofErr w:type="spellEnd"/>
      <w:r w:rsidRPr="00DC4F35">
        <w:rPr>
          <w:rFonts w:cstheme="minorHAnsi"/>
          <w:i/>
          <w:iCs/>
        </w:rPr>
        <w:t xml:space="preserve"> 2023</w:t>
      </w:r>
      <w:r w:rsidRPr="00DC4F35">
        <w:rPr>
          <w:rFonts w:cstheme="minorHAnsi"/>
        </w:rPr>
        <w:t>” udtalt følgende</w:t>
      </w:r>
      <w:r w:rsidR="00306692" w:rsidRPr="00DC4F35">
        <w:rPr>
          <w:rFonts w:cstheme="minorHAnsi"/>
        </w:rPr>
        <w:t>:</w:t>
      </w:r>
      <w:r w:rsidRPr="00DC4F35">
        <w:rPr>
          <w:rFonts w:cstheme="minorHAnsi"/>
        </w:rPr>
        <w:t xml:space="preserve"> </w:t>
      </w:r>
    </w:p>
    <w:p w14:paraId="0DCFB1E3" w14:textId="77777777" w:rsidR="0036440D" w:rsidRPr="00DC4F35" w:rsidRDefault="0036440D" w:rsidP="0036440D">
      <w:pPr>
        <w:rPr>
          <w:rFonts w:cstheme="minorHAnsi"/>
        </w:rPr>
      </w:pPr>
    </w:p>
    <w:p w14:paraId="73E81C04" w14:textId="77777777" w:rsidR="0036440D" w:rsidRPr="001C19E7" w:rsidRDefault="0036440D" w:rsidP="0050739D">
      <w:pPr>
        <w:pStyle w:val="Citat"/>
        <w:ind w:left="1276"/>
        <w:rPr>
          <w:lang w:val="en-US"/>
        </w:rPr>
      </w:pPr>
      <w:r w:rsidRPr="001C19E7">
        <w:rPr>
          <w:rFonts w:cstheme="minorHAnsi"/>
          <w:lang w:val="en-US"/>
        </w:rPr>
        <w:t>”</w:t>
      </w:r>
      <w:r w:rsidRPr="001C19E7">
        <w:rPr>
          <w:lang w:val="en-US"/>
        </w:rPr>
        <w:t xml:space="preserve"> 2.- How can personal data be transferred to the US if the data importer is not included in the ‘Data Privacy Framework List’?</w:t>
      </w:r>
    </w:p>
    <w:p w14:paraId="2A87BB64" w14:textId="77777777" w:rsidR="0036440D" w:rsidRPr="001C19E7" w:rsidRDefault="0036440D" w:rsidP="003F2D82">
      <w:pPr>
        <w:pStyle w:val="Citat"/>
        <w:rPr>
          <w:lang w:val="en-US"/>
        </w:rPr>
      </w:pPr>
    </w:p>
    <w:p w14:paraId="342CC192" w14:textId="77777777" w:rsidR="0036440D" w:rsidRPr="001C19E7" w:rsidRDefault="0036440D" w:rsidP="0050739D">
      <w:pPr>
        <w:pStyle w:val="Citat"/>
        <w:ind w:left="1276"/>
        <w:rPr>
          <w:lang w:val="en-US"/>
        </w:rPr>
      </w:pPr>
      <w:r w:rsidRPr="001C19E7">
        <w:rPr>
          <w:lang w:val="en-US"/>
        </w:rPr>
        <w:t>Transfers to entities in the US which are not included in the ‘Data Privacy Framework List’ cannot be based on the Adequacy Decision and will require appropriate data protection safeguards, enforceable rights and effective legal remedies for data subjects (</w:t>
      </w:r>
      <w:proofErr w:type="gramStart"/>
      <w:r w:rsidRPr="001C19E7">
        <w:rPr>
          <w:lang w:val="en-US"/>
        </w:rPr>
        <w:t>e.g.</w:t>
      </w:r>
      <w:proofErr w:type="gramEnd"/>
      <w:r w:rsidRPr="001C19E7">
        <w:rPr>
          <w:lang w:val="en-US"/>
        </w:rPr>
        <w:t xml:space="preserve"> through standard data protection clauses, binding corporate rules), in accordance with Article 46 GDPR. </w:t>
      </w:r>
    </w:p>
    <w:p w14:paraId="340ADA80" w14:textId="77777777" w:rsidR="0036440D" w:rsidRPr="001C19E7" w:rsidRDefault="0036440D" w:rsidP="0050739D">
      <w:pPr>
        <w:pStyle w:val="Citat"/>
        <w:ind w:left="1276"/>
        <w:rPr>
          <w:lang w:val="en-US"/>
        </w:rPr>
      </w:pPr>
    </w:p>
    <w:p w14:paraId="1F6D3FE3" w14:textId="0E59269B" w:rsidR="0036440D" w:rsidRPr="00DC4F35" w:rsidRDefault="0036440D" w:rsidP="0050739D">
      <w:pPr>
        <w:pStyle w:val="Citat"/>
        <w:ind w:left="1276"/>
      </w:pPr>
      <w:r w:rsidRPr="001C19E7">
        <w:rPr>
          <w:u w:val="single"/>
          <w:lang w:val="en-US"/>
        </w:rPr>
        <w:lastRenderedPageBreak/>
        <w:t xml:space="preserve">In this respect, the EDPB underlines that all the safeguards that have been put in place by the US Government in the area of national security (including the redress mechanism) apply to all data transferred to the US, regardless of the transfer tool </w:t>
      </w:r>
      <w:proofErr w:type="gramStart"/>
      <w:r w:rsidRPr="001C19E7">
        <w:rPr>
          <w:u w:val="single"/>
          <w:lang w:val="en-US"/>
        </w:rPr>
        <w:t>used</w:t>
      </w:r>
      <w:r w:rsidR="00306692" w:rsidRPr="001C19E7">
        <w:rPr>
          <w:u w:val="single"/>
          <w:lang w:val="en-US"/>
        </w:rPr>
        <w:t>[</w:t>
      </w:r>
      <w:proofErr w:type="gramEnd"/>
      <w:r w:rsidR="00306692" w:rsidRPr="001C19E7">
        <w:rPr>
          <w:u w:val="single"/>
          <w:lang w:val="en-US"/>
        </w:rPr>
        <w:t xml:space="preserve">note </w:t>
      </w:r>
      <w:proofErr w:type="spellStart"/>
      <w:r w:rsidR="00306692" w:rsidRPr="001C19E7">
        <w:rPr>
          <w:u w:val="single"/>
          <w:lang w:val="en-US"/>
        </w:rPr>
        <w:t>udeladt</w:t>
      </w:r>
      <w:proofErr w:type="spellEnd"/>
      <w:r w:rsidR="00306692" w:rsidRPr="001C19E7">
        <w:rPr>
          <w:u w:val="single"/>
          <w:lang w:val="en-US"/>
        </w:rPr>
        <w:t>]</w:t>
      </w:r>
      <w:r w:rsidRPr="001C19E7">
        <w:rPr>
          <w:u w:val="single"/>
          <w:lang w:val="en-US"/>
        </w:rPr>
        <w:t xml:space="preserve">. Therefore, when assessing the effectiveness of the Article 46 GDPR transfer tool </w:t>
      </w:r>
      <w:proofErr w:type="gramStart"/>
      <w:r w:rsidR="00C63A75" w:rsidRPr="001C19E7">
        <w:rPr>
          <w:u w:val="single"/>
          <w:lang w:val="en-US"/>
        </w:rPr>
        <w:t>chosen[</w:t>
      </w:r>
      <w:proofErr w:type="gramEnd"/>
      <w:r w:rsidR="00C63A75" w:rsidRPr="001C19E7">
        <w:rPr>
          <w:u w:val="single"/>
          <w:lang w:val="en-US"/>
        </w:rPr>
        <w:t xml:space="preserve">note </w:t>
      </w:r>
      <w:proofErr w:type="spellStart"/>
      <w:r w:rsidR="00C63A75" w:rsidRPr="001C19E7">
        <w:rPr>
          <w:u w:val="single"/>
          <w:lang w:val="en-US"/>
        </w:rPr>
        <w:t>udeladt</w:t>
      </w:r>
      <w:proofErr w:type="spellEnd"/>
      <w:r w:rsidR="00C63A75" w:rsidRPr="001C19E7">
        <w:rPr>
          <w:u w:val="single"/>
          <w:lang w:val="en-US"/>
        </w:rPr>
        <w:t>]</w:t>
      </w:r>
      <w:r w:rsidRPr="001C19E7">
        <w:rPr>
          <w:u w:val="single"/>
          <w:lang w:val="en-US"/>
        </w:rPr>
        <w:t>, data exporters should take into account the assessment conducted by the Commission in the Adequacy Decision.”</w:t>
      </w:r>
      <w:r w:rsidR="00C63A75" w:rsidRPr="001C19E7">
        <w:rPr>
          <w:lang w:val="en-US"/>
        </w:rPr>
        <w:t xml:space="preserve"> </w:t>
      </w:r>
      <w:r w:rsidR="00C63A75" w:rsidRPr="00DC4F35">
        <w:rPr>
          <w:i w:val="0"/>
          <w:iCs w:val="0"/>
        </w:rPr>
        <w:t>(Vores understregning.)</w:t>
      </w:r>
    </w:p>
    <w:p w14:paraId="40ED3217" w14:textId="33463C0E" w:rsidR="0036440D" w:rsidRPr="00DC4F35" w:rsidRDefault="0036440D" w:rsidP="0078034C">
      <w:pPr>
        <w:pStyle w:val="Indlgafsnit"/>
      </w:pPr>
      <w:r w:rsidRPr="00DC4F35">
        <w:t>EPDB angiver således, at de foranstaltninger, som er sat i værk af den amerikanske regering i forhold til national sikkerhed, gælder for alle overførsler til USA</w:t>
      </w:r>
      <w:r w:rsidR="0078034C" w:rsidRPr="00DC4F35">
        <w:t xml:space="preserve"> – uanset om virksomhederne, der overføres til, er certificeret under</w:t>
      </w:r>
      <w:r w:rsidRPr="00DC4F35">
        <w:t xml:space="preserve"> </w:t>
      </w:r>
      <w:r w:rsidR="0078034C" w:rsidRPr="00DC4F35">
        <w:t xml:space="preserve">EU-U.S. Data </w:t>
      </w:r>
      <w:proofErr w:type="spellStart"/>
      <w:r w:rsidR="0078034C" w:rsidRPr="00DC4F35">
        <w:t>Privacy</w:t>
      </w:r>
      <w:proofErr w:type="spellEnd"/>
      <w:r w:rsidR="0078034C" w:rsidRPr="00DC4F35">
        <w:t xml:space="preserve"> Framework – </w:t>
      </w:r>
      <w:r w:rsidRPr="00DC4F35">
        <w:t xml:space="preserve">hvorfor disse foranstaltninger skal tages i betragtning, når eksportøren skal vurdere effektiviteten af et andet overførselsgrundlag </w:t>
      </w:r>
      <w:r w:rsidRPr="00DC4F35">
        <w:rPr>
          <w:iCs/>
        </w:rPr>
        <w:t xml:space="preserve">i relation til en overførsel til USA. </w:t>
      </w:r>
      <w:r w:rsidR="00AC1AC3" w:rsidRPr="00DC4F35">
        <w:rPr>
          <w:iCs/>
        </w:rPr>
        <w:t xml:space="preserve">Hertil kommer, at </w:t>
      </w:r>
      <w:r w:rsidR="001C6BFB" w:rsidRPr="00DC4F35">
        <w:rPr>
          <w:iCs/>
        </w:rPr>
        <w:t xml:space="preserve">Microsoft Corporation i USA som certificeret under EU-U.S. Data </w:t>
      </w:r>
      <w:proofErr w:type="spellStart"/>
      <w:r w:rsidR="001C6BFB" w:rsidRPr="00DC4F35">
        <w:rPr>
          <w:iCs/>
        </w:rPr>
        <w:t>Privacy</w:t>
      </w:r>
      <w:proofErr w:type="spellEnd"/>
      <w:r w:rsidR="001C6BFB" w:rsidRPr="00DC4F35">
        <w:rPr>
          <w:iCs/>
        </w:rPr>
        <w:t xml:space="preserve"> Framework vil være forpligtet efter certificeringsordningen til at pålægge </w:t>
      </w:r>
      <w:r w:rsidR="00D54717" w:rsidRPr="00DC4F35">
        <w:rPr>
          <w:iCs/>
        </w:rPr>
        <w:t>underdatabehandlere</w:t>
      </w:r>
      <w:r w:rsidR="001C6BFB" w:rsidRPr="00DC4F35">
        <w:rPr>
          <w:iCs/>
        </w:rPr>
        <w:t xml:space="preserve"> etableret i USA samme vilkår</w:t>
      </w:r>
      <w:r w:rsidR="00D54717" w:rsidRPr="00DC4F35">
        <w:rPr>
          <w:iCs/>
        </w:rPr>
        <w:t xml:space="preserve"> vedrørende databeskyttelse, som Microsoft Corporation som certificeret under Rammeværket selv er pålagt, herunder at ”</w:t>
      </w:r>
      <w:proofErr w:type="spellStart"/>
      <w:r w:rsidR="00D54717" w:rsidRPr="00DC4F35">
        <w:rPr>
          <w:iCs/>
        </w:rPr>
        <w:t>ascertain</w:t>
      </w:r>
      <w:proofErr w:type="spellEnd"/>
      <w:r w:rsidR="00D54717" w:rsidRPr="00DC4F35">
        <w:rPr>
          <w:iCs/>
        </w:rPr>
        <w:t xml:space="preserve"> </w:t>
      </w:r>
      <w:proofErr w:type="spellStart"/>
      <w:r w:rsidR="00D54717" w:rsidRPr="00DC4F35">
        <w:rPr>
          <w:iCs/>
        </w:rPr>
        <w:t>that</w:t>
      </w:r>
      <w:proofErr w:type="spellEnd"/>
      <w:r w:rsidR="00D54717" w:rsidRPr="00DC4F35">
        <w:rPr>
          <w:iCs/>
        </w:rPr>
        <w:t xml:space="preserve"> the agent is </w:t>
      </w:r>
      <w:proofErr w:type="spellStart"/>
      <w:r w:rsidR="00D54717" w:rsidRPr="00DC4F35">
        <w:rPr>
          <w:iCs/>
        </w:rPr>
        <w:t>obligated</w:t>
      </w:r>
      <w:proofErr w:type="spellEnd"/>
      <w:r w:rsidR="00D54717" w:rsidRPr="00DC4F35">
        <w:rPr>
          <w:iCs/>
        </w:rPr>
        <w:t xml:space="preserve"> to provide at </w:t>
      </w:r>
      <w:proofErr w:type="spellStart"/>
      <w:r w:rsidR="00D54717" w:rsidRPr="00DC4F35">
        <w:rPr>
          <w:iCs/>
        </w:rPr>
        <w:t>least</w:t>
      </w:r>
      <w:proofErr w:type="spellEnd"/>
      <w:r w:rsidR="00D54717" w:rsidRPr="00DC4F35">
        <w:rPr>
          <w:iCs/>
        </w:rPr>
        <w:t xml:space="preserve"> the same </w:t>
      </w:r>
      <w:proofErr w:type="spellStart"/>
      <w:r w:rsidR="00D54717" w:rsidRPr="00DC4F35">
        <w:rPr>
          <w:iCs/>
        </w:rPr>
        <w:t>level</w:t>
      </w:r>
      <w:proofErr w:type="spellEnd"/>
      <w:r w:rsidR="00D54717" w:rsidRPr="00DC4F35">
        <w:rPr>
          <w:iCs/>
        </w:rPr>
        <w:t xml:space="preserve"> of </w:t>
      </w:r>
      <w:proofErr w:type="spellStart"/>
      <w:r w:rsidR="00D54717" w:rsidRPr="00DC4F35">
        <w:rPr>
          <w:iCs/>
        </w:rPr>
        <w:t>privacy</w:t>
      </w:r>
      <w:proofErr w:type="spellEnd"/>
      <w:r w:rsidR="00D54717" w:rsidRPr="00DC4F35">
        <w:rPr>
          <w:iCs/>
        </w:rPr>
        <w:t xml:space="preserve"> </w:t>
      </w:r>
      <w:proofErr w:type="spellStart"/>
      <w:r w:rsidR="00D54717" w:rsidRPr="00DC4F35">
        <w:rPr>
          <w:iCs/>
        </w:rPr>
        <w:t>protection</w:t>
      </w:r>
      <w:proofErr w:type="spellEnd"/>
      <w:r w:rsidR="00D54717" w:rsidRPr="00DC4F35">
        <w:rPr>
          <w:iCs/>
        </w:rPr>
        <w:t xml:space="preserve"> as is </w:t>
      </w:r>
      <w:proofErr w:type="spellStart"/>
      <w:r w:rsidR="00D54717" w:rsidRPr="00DC4F35">
        <w:rPr>
          <w:iCs/>
        </w:rPr>
        <w:t>required</w:t>
      </w:r>
      <w:proofErr w:type="spellEnd"/>
      <w:r w:rsidR="00D54717" w:rsidRPr="00DC4F35">
        <w:rPr>
          <w:iCs/>
        </w:rPr>
        <w:t xml:space="preserve"> by the </w:t>
      </w:r>
      <w:proofErr w:type="spellStart"/>
      <w:r w:rsidR="00D54717" w:rsidRPr="00DC4F35">
        <w:rPr>
          <w:iCs/>
        </w:rPr>
        <w:t>Principles</w:t>
      </w:r>
      <w:proofErr w:type="spellEnd"/>
      <w:r w:rsidR="00D54717" w:rsidRPr="00DC4F35">
        <w:rPr>
          <w:iCs/>
        </w:rPr>
        <w:t>”, jf. Rammeværkets princip nr. 3 om ”</w:t>
      </w:r>
      <w:proofErr w:type="spellStart"/>
      <w:r w:rsidR="00D54717" w:rsidRPr="00DC4F35">
        <w:rPr>
          <w:iCs/>
        </w:rPr>
        <w:t>Accountability</w:t>
      </w:r>
      <w:proofErr w:type="spellEnd"/>
      <w:r w:rsidR="00D54717" w:rsidRPr="00DC4F35">
        <w:rPr>
          <w:iCs/>
        </w:rPr>
        <w:t xml:space="preserve"> for </w:t>
      </w:r>
      <w:proofErr w:type="spellStart"/>
      <w:r w:rsidR="00D54717" w:rsidRPr="00DC4F35">
        <w:rPr>
          <w:iCs/>
        </w:rPr>
        <w:t>Onward</w:t>
      </w:r>
      <w:proofErr w:type="spellEnd"/>
      <w:r w:rsidR="00D54717" w:rsidRPr="00DC4F35">
        <w:rPr>
          <w:iCs/>
        </w:rPr>
        <w:t xml:space="preserve"> Transfers”.</w:t>
      </w:r>
      <w:r w:rsidR="00D54717" w:rsidRPr="00DC4F35">
        <w:rPr>
          <w:rStyle w:val="Fodnotehenvisning"/>
          <w:iCs/>
        </w:rPr>
        <w:footnoteReference w:id="27"/>
      </w:r>
    </w:p>
    <w:p w14:paraId="212A5385" w14:textId="042831C2" w:rsidR="00B76C7C" w:rsidRPr="00DC4F35" w:rsidRDefault="0036440D" w:rsidP="00F44C5F">
      <w:pPr>
        <w:pStyle w:val="Indlgafsnit"/>
      </w:pPr>
      <w:r w:rsidRPr="00DC4F35">
        <w:t xml:space="preserve">Det er på baggrund heraf </w:t>
      </w:r>
      <w:r w:rsidR="00901EAC" w:rsidRPr="00DC4F35">
        <w:t xml:space="preserve">Statens </w:t>
      </w:r>
      <w:proofErr w:type="spellStart"/>
      <w:r w:rsidR="00901EAC" w:rsidRPr="00DC4F35">
        <w:t>It’s</w:t>
      </w:r>
      <w:proofErr w:type="spellEnd"/>
      <w:r w:rsidR="00960C32" w:rsidRPr="00DC4F35">
        <w:t xml:space="preserve"> og Ø</w:t>
      </w:r>
      <w:r w:rsidR="00901EAC" w:rsidRPr="00DC4F35">
        <w:t>konomistyrelsens</w:t>
      </w:r>
      <w:r w:rsidRPr="00DC4F35">
        <w:t xml:space="preserve"> vurdering, at </w:t>
      </w:r>
      <w:r w:rsidR="00EF1470" w:rsidRPr="00DC4F35">
        <w:t>overførslerne til Microsoft Irelands underdatabehandlere i USA, der ikke er certificeret efter Rammeværket, lovligt vil kunne ske, idet der er etableret et tilstrækkeligt beskyttelsesniveau for de overførte personoplysninger ved indgåelsen af E</w:t>
      </w:r>
      <w:r w:rsidRPr="00DC4F35">
        <w:t xml:space="preserve">U-Kommissionens </w:t>
      </w:r>
      <w:r w:rsidRPr="00DC4F35">
        <w:rPr>
          <w:iCs/>
        </w:rPr>
        <w:t>standardkontraktbestemmelser</w:t>
      </w:r>
      <w:r w:rsidR="00594C5D" w:rsidRPr="00DC4F35">
        <w:rPr>
          <w:iCs/>
        </w:rPr>
        <w:t xml:space="preserve">, og idet der </w:t>
      </w:r>
      <w:r w:rsidR="00760575" w:rsidRPr="00DC4F35">
        <w:t xml:space="preserve">fastsættes </w:t>
      </w:r>
      <w:r w:rsidR="00BA1874" w:rsidRPr="00DC4F35">
        <w:t>en række supplerende foranstaltninger, jf. herom nærmere nedenfor.</w:t>
      </w:r>
    </w:p>
    <w:p w14:paraId="43D83208" w14:textId="75EE10E3" w:rsidR="0036440D" w:rsidRPr="00DC4F35" w:rsidRDefault="0036440D" w:rsidP="0036440D">
      <w:pPr>
        <w:pStyle w:val="Overskrift2"/>
      </w:pPr>
      <w:bookmarkStart w:id="73" w:name="_Ref165122890"/>
      <w:bookmarkStart w:id="74" w:name="_Toc170824040"/>
      <w:r w:rsidRPr="00DC4F35">
        <w:t xml:space="preserve">Overførsler til </w:t>
      </w:r>
      <w:r w:rsidR="007A0791" w:rsidRPr="00DC4F35">
        <w:t xml:space="preserve">øvrige </w:t>
      </w:r>
      <w:r w:rsidR="00BB02C1" w:rsidRPr="00DC4F35">
        <w:t xml:space="preserve">usikre </w:t>
      </w:r>
      <w:r w:rsidRPr="00DC4F35">
        <w:t xml:space="preserve">tredjelande </w:t>
      </w:r>
      <w:r w:rsidR="007A0791" w:rsidRPr="00DC4F35">
        <w:t>end</w:t>
      </w:r>
      <w:r w:rsidR="00DB79D1" w:rsidRPr="00DC4F35">
        <w:t xml:space="preserve"> USA </w:t>
      </w:r>
      <w:r w:rsidR="009B4A5A" w:rsidRPr="00DC4F35">
        <w:t>– risikobaseret tilgang</w:t>
      </w:r>
      <w:bookmarkEnd w:id="73"/>
      <w:bookmarkEnd w:id="74"/>
    </w:p>
    <w:p w14:paraId="7C950547" w14:textId="77777777" w:rsidR="008D28A4" w:rsidRPr="00DC4F35" w:rsidRDefault="00AA7A1A" w:rsidP="0036440D">
      <w:pPr>
        <w:rPr>
          <w:rFonts w:eastAsia="Times New Roman" w:cs="Times New Roman"/>
          <w:szCs w:val="23"/>
          <w:lang w:eastAsia="da-DK"/>
        </w:rPr>
      </w:pPr>
      <w:r w:rsidRPr="00DC4F35">
        <w:rPr>
          <w:rFonts w:eastAsia="Times New Roman" w:cs="Times New Roman"/>
          <w:szCs w:val="23"/>
          <w:lang w:eastAsia="da-DK"/>
        </w:rPr>
        <w:t xml:space="preserve">De Dataansvarlige </w:t>
      </w:r>
      <w:r w:rsidR="0036440D" w:rsidRPr="00DC4F35">
        <w:rPr>
          <w:rFonts w:eastAsia="Times New Roman" w:cs="Times New Roman"/>
          <w:szCs w:val="23"/>
          <w:lang w:eastAsia="da-DK"/>
        </w:rPr>
        <w:t xml:space="preserve">vil i forbindelse med brugen af </w:t>
      </w:r>
      <w:r w:rsidR="00960C32" w:rsidRPr="00DC4F35">
        <w:rPr>
          <w:rFonts w:eastAsia="Times New Roman" w:cs="Times New Roman"/>
          <w:szCs w:val="23"/>
          <w:lang w:eastAsia="da-DK"/>
        </w:rPr>
        <w:t>Microsoft 365</w:t>
      </w:r>
      <w:r w:rsidR="0028411D" w:rsidRPr="00DC4F35">
        <w:rPr>
          <w:rFonts w:eastAsia="Times New Roman" w:cs="Times New Roman"/>
          <w:szCs w:val="23"/>
          <w:lang w:eastAsia="da-DK"/>
        </w:rPr>
        <w:t xml:space="preserve"> </w:t>
      </w:r>
      <w:r w:rsidR="0036440D" w:rsidRPr="00DC4F35">
        <w:rPr>
          <w:rFonts w:eastAsia="Times New Roman" w:cs="Times New Roman"/>
          <w:szCs w:val="23"/>
          <w:lang w:eastAsia="da-DK"/>
        </w:rPr>
        <w:t>potentielt overføre personoplysninger til underdatabehandlere i andre</w:t>
      </w:r>
      <w:r w:rsidR="00DB79D1" w:rsidRPr="00DC4F35">
        <w:rPr>
          <w:rFonts w:eastAsia="Times New Roman" w:cs="Times New Roman"/>
          <w:szCs w:val="23"/>
          <w:lang w:eastAsia="da-DK"/>
        </w:rPr>
        <w:t xml:space="preserve"> usikre</w:t>
      </w:r>
      <w:r w:rsidR="0036440D" w:rsidRPr="00DC4F35">
        <w:rPr>
          <w:rFonts w:eastAsia="Times New Roman" w:cs="Times New Roman"/>
          <w:szCs w:val="23"/>
          <w:lang w:eastAsia="da-DK"/>
        </w:rPr>
        <w:t xml:space="preserve"> tredjelande end USA. </w:t>
      </w:r>
    </w:p>
    <w:p w14:paraId="68082F96" w14:textId="77777777" w:rsidR="008D28A4" w:rsidRPr="00DC4F35" w:rsidRDefault="008D28A4" w:rsidP="0036440D">
      <w:pPr>
        <w:rPr>
          <w:rFonts w:eastAsia="Times New Roman" w:cs="Times New Roman"/>
          <w:szCs w:val="23"/>
          <w:lang w:eastAsia="da-DK"/>
        </w:rPr>
      </w:pPr>
    </w:p>
    <w:p w14:paraId="0032862C" w14:textId="0C10C304" w:rsidR="00DA7466" w:rsidRPr="00DC4F35" w:rsidRDefault="0036440D" w:rsidP="0036440D">
      <w:pPr>
        <w:rPr>
          <w:rFonts w:eastAsia="Times New Roman" w:cs="Times New Roman"/>
          <w:szCs w:val="23"/>
          <w:lang w:eastAsia="da-DK"/>
        </w:rPr>
      </w:pPr>
      <w:r w:rsidRPr="00DC4F35">
        <w:rPr>
          <w:rFonts w:eastAsia="Times New Roman" w:cs="Times New Roman"/>
          <w:szCs w:val="23"/>
          <w:lang w:eastAsia="da-DK"/>
        </w:rPr>
        <w:t xml:space="preserve">Det er </w:t>
      </w:r>
      <w:r w:rsidR="0025436C" w:rsidRPr="00DC4F35">
        <w:rPr>
          <w:rFonts w:eastAsia="Times New Roman" w:cs="Times New Roman"/>
          <w:szCs w:val="23"/>
          <w:lang w:eastAsia="da-DK"/>
        </w:rPr>
        <w:t xml:space="preserve">Statens </w:t>
      </w:r>
      <w:proofErr w:type="spellStart"/>
      <w:r w:rsidR="0025436C" w:rsidRPr="00DC4F35">
        <w:rPr>
          <w:rFonts w:eastAsia="Times New Roman" w:cs="Times New Roman"/>
          <w:szCs w:val="23"/>
          <w:lang w:eastAsia="da-DK"/>
        </w:rPr>
        <w:t>It’s</w:t>
      </w:r>
      <w:proofErr w:type="spellEnd"/>
      <w:r w:rsidR="00125798" w:rsidRPr="00DC4F35">
        <w:rPr>
          <w:rFonts w:eastAsia="Times New Roman" w:cs="Times New Roman"/>
          <w:szCs w:val="23"/>
          <w:lang w:eastAsia="da-DK"/>
        </w:rPr>
        <w:t xml:space="preserve"> og Ø</w:t>
      </w:r>
      <w:r w:rsidR="0025436C" w:rsidRPr="00DC4F35">
        <w:rPr>
          <w:rFonts w:eastAsia="Times New Roman" w:cs="Times New Roman"/>
          <w:szCs w:val="23"/>
          <w:lang w:eastAsia="da-DK"/>
        </w:rPr>
        <w:t>konomistyrelsens</w:t>
      </w:r>
      <w:r w:rsidRPr="00DC4F35">
        <w:rPr>
          <w:rFonts w:eastAsia="Times New Roman" w:cs="Times New Roman"/>
          <w:szCs w:val="23"/>
          <w:lang w:eastAsia="da-DK"/>
        </w:rPr>
        <w:t xml:space="preserve"> vurdering, at en afklaring af beskyttelsesniveauet i </w:t>
      </w:r>
      <w:r w:rsidR="008D28A4" w:rsidRPr="00DC4F35">
        <w:rPr>
          <w:rFonts w:eastAsia="Times New Roman" w:cs="Times New Roman"/>
          <w:szCs w:val="23"/>
          <w:lang w:eastAsia="da-DK"/>
        </w:rPr>
        <w:t xml:space="preserve">de </w:t>
      </w:r>
      <w:r w:rsidRPr="00DC4F35">
        <w:rPr>
          <w:rFonts w:eastAsia="Times New Roman" w:cs="Times New Roman"/>
          <w:szCs w:val="23"/>
          <w:lang w:eastAsia="da-DK"/>
        </w:rPr>
        <w:t xml:space="preserve">øvrige </w:t>
      </w:r>
      <w:r w:rsidR="008D28A4" w:rsidRPr="00DC4F35">
        <w:rPr>
          <w:rFonts w:eastAsia="Times New Roman" w:cs="Times New Roman"/>
          <w:szCs w:val="23"/>
          <w:lang w:eastAsia="da-DK"/>
        </w:rPr>
        <w:t xml:space="preserve">usikre </w:t>
      </w:r>
      <w:r w:rsidRPr="00DC4F35">
        <w:rPr>
          <w:rFonts w:eastAsia="Times New Roman" w:cs="Times New Roman"/>
          <w:szCs w:val="23"/>
          <w:lang w:eastAsia="da-DK"/>
        </w:rPr>
        <w:t>tredjelande</w:t>
      </w:r>
      <w:r w:rsidR="008D28A4" w:rsidRPr="00DC4F35">
        <w:rPr>
          <w:rFonts w:eastAsia="Times New Roman" w:cs="Times New Roman"/>
          <w:szCs w:val="23"/>
          <w:lang w:eastAsia="da-DK"/>
        </w:rPr>
        <w:t xml:space="preserve"> end USA</w:t>
      </w:r>
      <w:r w:rsidRPr="00DC4F35">
        <w:rPr>
          <w:rFonts w:eastAsia="Times New Roman" w:cs="Times New Roman"/>
          <w:szCs w:val="23"/>
          <w:lang w:eastAsia="da-DK"/>
        </w:rPr>
        <w:t>, som kan indgå i den konkrete behandling (se nærmere herom i trin 1)</w:t>
      </w:r>
      <w:r w:rsidR="00DA7466" w:rsidRPr="00DC4F35">
        <w:rPr>
          <w:rFonts w:eastAsia="Times New Roman" w:cs="Times New Roman"/>
          <w:szCs w:val="23"/>
          <w:lang w:eastAsia="da-DK"/>
        </w:rPr>
        <w:t xml:space="preserve"> – herunder vedligeholdelse af denne vurdering –</w:t>
      </w:r>
      <w:r w:rsidRPr="00DC4F35">
        <w:rPr>
          <w:rFonts w:eastAsia="Times New Roman" w:cs="Times New Roman"/>
          <w:szCs w:val="23"/>
          <w:lang w:eastAsia="da-DK"/>
        </w:rPr>
        <w:t xml:space="preserve"> </w:t>
      </w:r>
      <w:r w:rsidR="00DA7466" w:rsidRPr="00DC4F35">
        <w:rPr>
          <w:rFonts w:eastAsia="Times New Roman" w:cs="Times New Roman"/>
          <w:szCs w:val="23"/>
          <w:lang w:eastAsia="da-DK"/>
        </w:rPr>
        <w:t>vil indebære et uforholdsmæssigt ressourceforbrug</w:t>
      </w:r>
      <w:r w:rsidR="00AF210D" w:rsidRPr="00DC4F35">
        <w:rPr>
          <w:rFonts w:eastAsia="Times New Roman" w:cs="Times New Roman"/>
          <w:szCs w:val="23"/>
          <w:lang w:eastAsia="da-DK"/>
        </w:rPr>
        <w:t xml:space="preserve"> og næppe være muligt løbende at kunne vedligeholde i praksis</w:t>
      </w:r>
      <w:r w:rsidRPr="00DC4F35">
        <w:rPr>
          <w:rFonts w:eastAsia="Times New Roman" w:cs="Times New Roman"/>
          <w:szCs w:val="23"/>
          <w:lang w:eastAsia="da-DK"/>
        </w:rPr>
        <w:t xml:space="preserve">. </w:t>
      </w:r>
    </w:p>
    <w:p w14:paraId="42EC0A5C" w14:textId="77777777" w:rsidR="00DA7466" w:rsidRPr="00DC4F35" w:rsidRDefault="00DA7466" w:rsidP="0036440D">
      <w:pPr>
        <w:rPr>
          <w:rFonts w:eastAsia="Times New Roman" w:cs="Times New Roman"/>
          <w:szCs w:val="23"/>
          <w:lang w:eastAsia="da-DK"/>
        </w:rPr>
      </w:pPr>
    </w:p>
    <w:p w14:paraId="40B490F7" w14:textId="723F6AFD" w:rsidR="0034687A" w:rsidRPr="00DC4F35" w:rsidRDefault="0036440D" w:rsidP="0034687A">
      <w:pPr>
        <w:rPr>
          <w:rFonts w:eastAsia="Times New Roman" w:cs="Times New Roman"/>
          <w:szCs w:val="23"/>
          <w:lang w:eastAsia="da-DK"/>
        </w:rPr>
      </w:pPr>
      <w:r w:rsidRPr="00DC4F35">
        <w:rPr>
          <w:rFonts w:eastAsia="Times New Roman" w:cs="Times New Roman"/>
          <w:szCs w:val="23"/>
          <w:lang w:eastAsia="da-DK"/>
        </w:rPr>
        <w:t>Vurderingen af disse</w:t>
      </w:r>
      <w:r w:rsidR="002606FE" w:rsidRPr="00DC4F35">
        <w:rPr>
          <w:rFonts w:eastAsia="Times New Roman" w:cs="Times New Roman"/>
          <w:szCs w:val="23"/>
          <w:lang w:eastAsia="da-DK"/>
        </w:rPr>
        <w:t xml:space="preserve"> </w:t>
      </w:r>
      <w:r w:rsidRPr="00DC4F35">
        <w:rPr>
          <w:rFonts w:eastAsia="Times New Roman" w:cs="Times New Roman"/>
          <w:szCs w:val="23"/>
          <w:lang w:eastAsia="da-DK"/>
        </w:rPr>
        <w:t>tredjelandes lovgivning er derfor baseret på et ”</w:t>
      </w:r>
      <w:proofErr w:type="spellStart"/>
      <w:r w:rsidRPr="00DC4F35">
        <w:rPr>
          <w:rFonts w:eastAsia="Times New Roman" w:cs="Times New Roman"/>
          <w:szCs w:val="23"/>
          <w:lang w:eastAsia="da-DK"/>
        </w:rPr>
        <w:t>worst</w:t>
      </w:r>
      <w:proofErr w:type="spellEnd"/>
      <w:r w:rsidRPr="00DC4F35">
        <w:rPr>
          <w:rFonts w:eastAsia="Times New Roman" w:cs="Times New Roman"/>
          <w:szCs w:val="23"/>
          <w:lang w:eastAsia="da-DK"/>
        </w:rPr>
        <w:t xml:space="preserve"> case scenario” i overensstemmelse med det anførte i Datatilsynets vejledning om cloud, marts 2022, side 20, </w:t>
      </w:r>
      <w:r w:rsidR="001624E2" w:rsidRPr="00DC4F35">
        <w:rPr>
          <w:rFonts w:eastAsia="Times New Roman" w:cs="Times New Roman"/>
          <w:szCs w:val="23"/>
          <w:lang w:eastAsia="da-DK"/>
        </w:rPr>
        <w:t xml:space="preserve">dvs. </w:t>
      </w:r>
      <w:r w:rsidRPr="00DC4F35">
        <w:rPr>
          <w:rFonts w:eastAsia="Times New Roman" w:cs="Times New Roman"/>
          <w:szCs w:val="23"/>
          <w:lang w:eastAsia="da-DK"/>
        </w:rPr>
        <w:t xml:space="preserve">hvor det lægges til </w:t>
      </w:r>
      <w:r w:rsidRPr="00DC4F35">
        <w:rPr>
          <w:rFonts w:eastAsia="Times New Roman" w:cs="Times New Roman"/>
          <w:szCs w:val="23"/>
          <w:lang w:eastAsia="da-DK"/>
        </w:rPr>
        <w:lastRenderedPageBreak/>
        <w:t xml:space="preserve">grund, at alle de omhandlede </w:t>
      </w:r>
      <w:r w:rsidR="004B5A77" w:rsidRPr="00DC4F35">
        <w:rPr>
          <w:rFonts w:eastAsia="Times New Roman" w:cs="Times New Roman"/>
          <w:szCs w:val="23"/>
          <w:lang w:eastAsia="da-DK"/>
        </w:rPr>
        <w:t xml:space="preserve">usikre </w:t>
      </w:r>
      <w:r w:rsidRPr="00DC4F35">
        <w:rPr>
          <w:rFonts w:eastAsia="Times New Roman" w:cs="Times New Roman"/>
          <w:szCs w:val="23"/>
          <w:lang w:eastAsia="da-DK"/>
        </w:rPr>
        <w:t>tredjelande</w:t>
      </w:r>
      <w:r w:rsidR="0091758C" w:rsidRPr="00DC4F35">
        <w:rPr>
          <w:rFonts w:eastAsia="Times New Roman" w:cs="Times New Roman"/>
          <w:szCs w:val="23"/>
          <w:lang w:eastAsia="da-DK"/>
        </w:rPr>
        <w:t xml:space="preserve">, hvor personoplysninger </w:t>
      </w:r>
      <w:r w:rsidR="00882EE3" w:rsidRPr="00DC4F35">
        <w:rPr>
          <w:rFonts w:eastAsia="Times New Roman" w:cs="Times New Roman"/>
          <w:szCs w:val="23"/>
          <w:lang w:eastAsia="da-DK"/>
        </w:rPr>
        <w:t xml:space="preserve">potentielt </w:t>
      </w:r>
      <w:r w:rsidR="00772E1D" w:rsidRPr="00DC4F35">
        <w:rPr>
          <w:rFonts w:eastAsia="Times New Roman" w:cs="Times New Roman"/>
          <w:szCs w:val="23"/>
          <w:lang w:eastAsia="da-DK"/>
        </w:rPr>
        <w:t xml:space="preserve">kan </w:t>
      </w:r>
      <w:r w:rsidR="0091758C" w:rsidRPr="00DC4F35">
        <w:rPr>
          <w:rFonts w:eastAsia="Times New Roman" w:cs="Times New Roman"/>
          <w:szCs w:val="23"/>
          <w:lang w:eastAsia="da-DK"/>
        </w:rPr>
        <w:t>overføres til,</w:t>
      </w:r>
      <w:r w:rsidRPr="00DC4F35">
        <w:rPr>
          <w:rFonts w:eastAsia="Times New Roman" w:cs="Times New Roman"/>
          <w:szCs w:val="23"/>
          <w:lang w:eastAsia="da-DK"/>
        </w:rPr>
        <w:t xml:space="preserve"> har ”problematisk” lovgivning og/eller praksis</w:t>
      </w:r>
      <w:r w:rsidR="0034687A" w:rsidRPr="00DC4F35">
        <w:rPr>
          <w:rFonts w:eastAsia="Times New Roman" w:cs="Times New Roman"/>
          <w:szCs w:val="23"/>
          <w:lang w:eastAsia="da-DK"/>
        </w:rPr>
        <w:t>, og hvor det på den baggrund nærmere vurderes, hvilke supplerende tekniske foranstaltninger der skal træffes for at sikre et beskyttelsesniveau, der i det væsentlige svarer til niveauet i EU/EØS.</w:t>
      </w:r>
    </w:p>
    <w:p w14:paraId="3F275D19" w14:textId="77777777" w:rsidR="0034687A" w:rsidRPr="00DC4F35" w:rsidRDefault="0034687A" w:rsidP="0036440D">
      <w:pPr>
        <w:rPr>
          <w:rFonts w:eastAsia="Times New Roman" w:cs="Times New Roman"/>
          <w:szCs w:val="23"/>
          <w:highlight w:val="yellow"/>
          <w:lang w:eastAsia="da-DK"/>
        </w:rPr>
      </w:pPr>
    </w:p>
    <w:p w14:paraId="580432A0" w14:textId="1E4D9292" w:rsidR="0036440D" w:rsidRPr="00DC4F35" w:rsidRDefault="00AA7A1A" w:rsidP="0036440D">
      <w:pPr>
        <w:rPr>
          <w:rFonts w:eastAsia="Times New Roman" w:cs="Times New Roman"/>
          <w:szCs w:val="23"/>
          <w:lang w:eastAsia="da-DK"/>
        </w:rPr>
      </w:pPr>
      <w:r w:rsidRPr="00DC4F35">
        <w:rPr>
          <w:rFonts w:eastAsia="Times New Roman" w:cs="Times New Roman"/>
          <w:szCs w:val="23"/>
          <w:lang w:eastAsia="da-DK"/>
        </w:rPr>
        <w:t xml:space="preserve">De Dataansvarlige </w:t>
      </w:r>
      <w:r w:rsidR="00BA1874" w:rsidRPr="00DC4F35">
        <w:rPr>
          <w:rFonts w:eastAsia="Times New Roman" w:cs="Times New Roman"/>
          <w:szCs w:val="23"/>
          <w:lang w:eastAsia="da-DK"/>
        </w:rPr>
        <w:t xml:space="preserve">vil </w:t>
      </w:r>
      <w:r w:rsidR="0036440D" w:rsidRPr="00DC4F35">
        <w:rPr>
          <w:rFonts w:eastAsia="Times New Roman" w:cs="Times New Roman"/>
          <w:szCs w:val="23"/>
          <w:lang w:eastAsia="da-DK"/>
        </w:rPr>
        <w:t xml:space="preserve">i </w:t>
      </w:r>
      <w:r w:rsidR="00125798" w:rsidRPr="00DC4F35">
        <w:rPr>
          <w:rFonts w:eastAsia="Times New Roman" w:cs="Times New Roman"/>
          <w:szCs w:val="23"/>
          <w:lang w:eastAsia="da-DK"/>
        </w:rPr>
        <w:t xml:space="preserve">afsnit </w:t>
      </w:r>
      <w:r w:rsidR="00125798" w:rsidRPr="00DC4F35">
        <w:rPr>
          <w:rFonts w:eastAsia="Times New Roman" w:cs="Times New Roman"/>
          <w:szCs w:val="23"/>
          <w:lang w:eastAsia="da-DK"/>
        </w:rPr>
        <w:fldChar w:fldCharType="begin"/>
      </w:r>
      <w:r w:rsidR="00125798" w:rsidRPr="00DC4F35">
        <w:rPr>
          <w:rFonts w:eastAsia="Times New Roman" w:cs="Times New Roman"/>
          <w:szCs w:val="23"/>
          <w:lang w:eastAsia="da-DK"/>
        </w:rPr>
        <w:instrText xml:space="preserve"> REF _Ref164670643 \r \h </w:instrText>
      </w:r>
      <w:r w:rsidR="00125798" w:rsidRPr="00DC4F35">
        <w:rPr>
          <w:rFonts w:eastAsia="Times New Roman" w:cs="Times New Roman"/>
          <w:szCs w:val="23"/>
          <w:lang w:eastAsia="da-DK"/>
        </w:rPr>
      </w:r>
      <w:r w:rsidR="00125798" w:rsidRPr="00DC4F35">
        <w:rPr>
          <w:rFonts w:eastAsia="Times New Roman" w:cs="Times New Roman"/>
          <w:szCs w:val="23"/>
          <w:lang w:eastAsia="da-DK"/>
        </w:rPr>
        <w:fldChar w:fldCharType="separate"/>
      </w:r>
      <w:r w:rsidR="00C05EBE">
        <w:rPr>
          <w:rFonts w:eastAsia="Times New Roman" w:cs="Times New Roman"/>
          <w:szCs w:val="23"/>
          <w:lang w:eastAsia="da-DK"/>
        </w:rPr>
        <w:t>6</w:t>
      </w:r>
      <w:r w:rsidR="00125798" w:rsidRPr="00DC4F35">
        <w:rPr>
          <w:rFonts w:eastAsia="Times New Roman" w:cs="Times New Roman"/>
          <w:szCs w:val="23"/>
          <w:lang w:eastAsia="da-DK"/>
        </w:rPr>
        <w:fldChar w:fldCharType="end"/>
      </w:r>
      <w:r w:rsidR="00125798" w:rsidRPr="00DC4F35">
        <w:rPr>
          <w:rFonts w:eastAsia="Times New Roman" w:cs="Times New Roman"/>
          <w:szCs w:val="23"/>
          <w:lang w:eastAsia="da-DK"/>
        </w:rPr>
        <w:t xml:space="preserve"> undersøge og vurdere</w:t>
      </w:r>
      <w:r w:rsidR="0036440D" w:rsidRPr="00DC4F35">
        <w:rPr>
          <w:rFonts w:eastAsia="Times New Roman" w:cs="Times New Roman"/>
          <w:szCs w:val="23"/>
          <w:lang w:eastAsia="da-DK"/>
        </w:rPr>
        <w:t xml:space="preserve">, om det er muligt at identificere og implementere supplerende foranstaltninger, der skaber det </w:t>
      </w:r>
      <w:r w:rsidR="00A432A8" w:rsidRPr="00DC4F35">
        <w:rPr>
          <w:rFonts w:eastAsia="Times New Roman" w:cs="Times New Roman"/>
          <w:szCs w:val="23"/>
          <w:lang w:eastAsia="da-DK"/>
        </w:rPr>
        <w:t xml:space="preserve">fornødne </w:t>
      </w:r>
      <w:r w:rsidR="0036440D" w:rsidRPr="00DC4F35">
        <w:rPr>
          <w:rFonts w:eastAsia="Times New Roman" w:cs="Times New Roman"/>
          <w:szCs w:val="23"/>
          <w:lang w:eastAsia="da-DK"/>
        </w:rPr>
        <w:t xml:space="preserve">beskyttelsesniveau i relation til overførsler </w:t>
      </w:r>
      <w:r w:rsidR="00BA1874" w:rsidRPr="00DC4F35">
        <w:rPr>
          <w:rFonts w:eastAsia="Times New Roman" w:cs="Times New Roman"/>
          <w:szCs w:val="23"/>
          <w:lang w:eastAsia="da-DK"/>
        </w:rPr>
        <w:t xml:space="preserve">til usikre tredjelande </w:t>
      </w:r>
      <w:r w:rsidR="0036440D" w:rsidRPr="00DC4F35">
        <w:rPr>
          <w:rFonts w:eastAsia="Times New Roman" w:cs="Times New Roman"/>
          <w:szCs w:val="23"/>
          <w:lang w:eastAsia="da-DK"/>
        </w:rPr>
        <w:t>uden for USA</w:t>
      </w:r>
      <w:r w:rsidR="002606FE" w:rsidRPr="00DC4F35">
        <w:rPr>
          <w:rFonts w:eastAsia="Times New Roman" w:cs="Times New Roman"/>
          <w:szCs w:val="23"/>
          <w:lang w:eastAsia="da-DK"/>
        </w:rPr>
        <w:t xml:space="preserve"> under hensyntagen til de involverede risici ved behandlingen</w:t>
      </w:r>
      <w:r w:rsidR="00DA7466" w:rsidRPr="00DC4F35">
        <w:rPr>
          <w:rFonts w:eastAsia="Times New Roman" w:cs="Times New Roman"/>
          <w:szCs w:val="23"/>
          <w:lang w:eastAsia="da-DK"/>
        </w:rPr>
        <w:t xml:space="preserve"> og erfaringerne med udlevering af personoplysninger til tredjelandes myndigheder</w:t>
      </w:r>
      <w:r w:rsidR="0036440D" w:rsidRPr="00DC4F35">
        <w:rPr>
          <w:rFonts w:eastAsia="Times New Roman" w:cs="Times New Roman"/>
          <w:szCs w:val="23"/>
          <w:lang w:eastAsia="da-DK"/>
        </w:rPr>
        <w:t xml:space="preserve">. </w:t>
      </w:r>
      <w:r w:rsidR="00125798" w:rsidRPr="00DC4F35">
        <w:rPr>
          <w:rFonts w:eastAsia="Times New Roman" w:cs="Times New Roman"/>
          <w:szCs w:val="23"/>
          <w:lang w:eastAsia="da-DK"/>
        </w:rPr>
        <w:t xml:space="preserve">Der vil </w:t>
      </w:r>
      <w:r w:rsidR="00862C2A" w:rsidRPr="00DC4F35">
        <w:rPr>
          <w:rFonts w:eastAsia="Times New Roman" w:cs="Times New Roman"/>
          <w:szCs w:val="23"/>
          <w:lang w:eastAsia="da-DK"/>
        </w:rPr>
        <w:t>således</w:t>
      </w:r>
      <w:r w:rsidR="00125798" w:rsidRPr="00DC4F35">
        <w:rPr>
          <w:rFonts w:eastAsia="Times New Roman" w:cs="Times New Roman"/>
          <w:szCs w:val="23"/>
          <w:lang w:eastAsia="da-DK"/>
        </w:rPr>
        <w:t xml:space="preserve"> blive anvendt en risikobaseret tilgang til </w:t>
      </w:r>
      <w:r w:rsidR="00CF52AC" w:rsidRPr="00DC4F35">
        <w:rPr>
          <w:rFonts w:eastAsia="Times New Roman" w:cs="Times New Roman"/>
          <w:szCs w:val="23"/>
          <w:lang w:eastAsia="da-DK"/>
        </w:rPr>
        <w:t xml:space="preserve">den samlede </w:t>
      </w:r>
      <w:r w:rsidR="00125798" w:rsidRPr="00DC4F35">
        <w:rPr>
          <w:rFonts w:eastAsia="Times New Roman" w:cs="Times New Roman"/>
          <w:szCs w:val="23"/>
          <w:lang w:eastAsia="da-DK"/>
        </w:rPr>
        <w:t>vurdering</w:t>
      </w:r>
      <w:r w:rsidR="00CF52AC" w:rsidRPr="00DC4F35">
        <w:rPr>
          <w:rFonts w:eastAsia="Times New Roman" w:cs="Times New Roman"/>
          <w:szCs w:val="23"/>
          <w:lang w:eastAsia="da-DK"/>
        </w:rPr>
        <w:t xml:space="preserve"> </w:t>
      </w:r>
      <w:r w:rsidR="00DA7466" w:rsidRPr="00DC4F35">
        <w:rPr>
          <w:rFonts w:eastAsia="Times New Roman" w:cs="Times New Roman"/>
          <w:szCs w:val="23"/>
          <w:lang w:eastAsia="da-DK"/>
        </w:rPr>
        <w:t xml:space="preserve">af overførslernes lovlighed </w:t>
      </w:r>
      <w:r w:rsidR="00CF52AC" w:rsidRPr="00DC4F35">
        <w:rPr>
          <w:rFonts w:eastAsia="Times New Roman" w:cs="Times New Roman"/>
          <w:szCs w:val="23"/>
          <w:lang w:eastAsia="da-DK"/>
        </w:rPr>
        <w:t xml:space="preserve">i afsnit </w:t>
      </w:r>
      <w:r w:rsidR="00CF52AC" w:rsidRPr="00DC4F35">
        <w:rPr>
          <w:rFonts w:eastAsia="Times New Roman" w:cs="Times New Roman"/>
          <w:szCs w:val="23"/>
          <w:lang w:eastAsia="da-DK"/>
        </w:rPr>
        <w:fldChar w:fldCharType="begin"/>
      </w:r>
      <w:r w:rsidR="00CF52AC" w:rsidRPr="00DC4F35">
        <w:rPr>
          <w:rFonts w:eastAsia="Times New Roman" w:cs="Times New Roman"/>
          <w:szCs w:val="23"/>
          <w:lang w:eastAsia="da-DK"/>
        </w:rPr>
        <w:instrText xml:space="preserve"> REF _Ref164671013 \r \h </w:instrText>
      </w:r>
      <w:r w:rsidR="00CF52AC" w:rsidRPr="00DC4F35">
        <w:rPr>
          <w:rFonts w:eastAsia="Times New Roman" w:cs="Times New Roman"/>
          <w:szCs w:val="23"/>
          <w:lang w:eastAsia="da-DK"/>
        </w:rPr>
      </w:r>
      <w:r w:rsidR="00CF52AC" w:rsidRPr="00DC4F35">
        <w:rPr>
          <w:rFonts w:eastAsia="Times New Roman" w:cs="Times New Roman"/>
          <w:szCs w:val="23"/>
          <w:lang w:eastAsia="da-DK"/>
        </w:rPr>
        <w:fldChar w:fldCharType="separate"/>
      </w:r>
      <w:r w:rsidR="00C05EBE">
        <w:rPr>
          <w:rFonts w:eastAsia="Times New Roman" w:cs="Times New Roman"/>
          <w:szCs w:val="23"/>
          <w:lang w:eastAsia="da-DK"/>
        </w:rPr>
        <w:t>6.4</w:t>
      </w:r>
      <w:r w:rsidR="00CF52AC" w:rsidRPr="00DC4F35">
        <w:rPr>
          <w:rFonts w:eastAsia="Times New Roman" w:cs="Times New Roman"/>
          <w:szCs w:val="23"/>
          <w:lang w:eastAsia="da-DK"/>
        </w:rPr>
        <w:fldChar w:fldCharType="end"/>
      </w:r>
      <w:r w:rsidR="00125798" w:rsidRPr="00DC4F35">
        <w:rPr>
          <w:rFonts w:eastAsia="Times New Roman" w:cs="Times New Roman"/>
          <w:szCs w:val="23"/>
          <w:lang w:eastAsia="da-DK"/>
        </w:rPr>
        <w:t xml:space="preserve">. </w:t>
      </w:r>
      <w:r w:rsidR="00A432A8" w:rsidRPr="00DC4F35">
        <w:rPr>
          <w:rFonts w:eastAsia="Times New Roman" w:cs="Times New Roman"/>
          <w:szCs w:val="23"/>
          <w:lang w:eastAsia="da-DK"/>
        </w:rPr>
        <w:t xml:space="preserve">Herved forstås, at De Dataansvarlige vil inddrage sandsynligheden for </w:t>
      </w:r>
      <w:r w:rsidR="004B5A77" w:rsidRPr="00DC4F35">
        <w:rPr>
          <w:rFonts w:eastAsia="Times New Roman" w:cs="Times New Roman"/>
          <w:szCs w:val="23"/>
          <w:lang w:eastAsia="da-DK"/>
        </w:rPr>
        <w:t xml:space="preserve">usikre </w:t>
      </w:r>
      <w:r w:rsidR="00A432A8" w:rsidRPr="00DC4F35">
        <w:rPr>
          <w:rFonts w:eastAsia="Times New Roman" w:cs="Times New Roman"/>
          <w:szCs w:val="23"/>
          <w:lang w:eastAsia="da-DK"/>
        </w:rPr>
        <w:t xml:space="preserve">tredjelandes myndigheders adgang til de overførte personoplysninger samt konsekvensen for de registrerede af en sådan adgang. </w:t>
      </w:r>
      <w:r w:rsidR="004B5A77" w:rsidRPr="00DC4F35">
        <w:rPr>
          <w:rFonts w:eastAsia="Times New Roman" w:cs="Times New Roman"/>
          <w:szCs w:val="23"/>
          <w:lang w:eastAsia="da-DK"/>
        </w:rPr>
        <w:t>Det retlige belæg for en sådan</w:t>
      </w:r>
      <w:r w:rsidR="00EF10A8" w:rsidRPr="00DC4F35">
        <w:rPr>
          <w:rFonts w:eastAsia="Times New Roman" w:cs="Times New Roman"/>
          <w:szCs w:val="23"/>
          <w:lang w:eastAsia="da-DK"/>
        </w:rPr>
        <w:t xml:space="preserve"> risikobaseret tilgang</w:t>
      </w:r>
      <w:r w:rsidR="00392701" w:rsidRPr="00DC4F35">
        <w:rPr>
          <w:rFonts w:eastAsia="Times New Roman" w:cs="Times New Roman"/>
          <w:szCs w:val="23"/>
          <w:lang w:eastAsia="da-DK"/>
        </w:rPr>
        <w:t xml:space="preserve"> uddybes i det følgende.</w:t>
      </w:r>
      <w:r w:rsidR="00490BE8" w:rsidRPr="00DC4F35">
        <w:rPr>
          <w:rFonts w:eastAsia="Times New Roman" w:cs="Times New Roman"/>
          <w:szCs w:val="23"/>
          <w:lang w:eastAsia="da-DK"/>
        </w:rPr>
        <w:t xml:space="preserve"> </w:t>
      </w:r>
    </w:p>
    <w:p w14:paraId="28A2DB78" w14:textId="77777777" w:rsidR="00B50DF6" w:rsidRPr="00DC4F35" w:rsidRDefault="00B50DF6" w:rsidP="0036440D">
      <w:pPr>
        <w:rPr>
          <w:rFonts w:eastAsia="Times New Roman" w:cs="Times New Roman"/>
          <w:szCs w:val="23"/>
          <w:lang w:eastAsia="da-DK"/>
        </w:rPr>
      </w:pPr>
    </w:p>
    <w:p w14:paraId="470DEE7A" w14:textId="6F9B22FC" w:rsidR="0078563B" w:rsidRPr="00DC4F35" w:rsidRDefault="0078563B" w:rsidP="00392701">
      <w:pPr>
        <w:pStyle w:val="Overskrift3"/>
        <w:rPr>
          <w:lang w:eastAsia="da-DK"/>
        </w:rPr>
      </w:pPr>
      <w:bookmarkStart w:id="75" w:name="_Ref164861156"/>
      <w:bookmarkStart w:id="76" w:name="_Toc170824041"/>
      <w:r w:rsidRPr="00DC4F35">
        <w:rPr>
          <w:lang w:eastAsia="da-DK"/>
        </w:rPr>
        <w:t>Databeskyttelsesforordningen</w:t>
      </w:r>
      <w:bookmarkEnd w:id="75"/>
      <w:bookmarkEnd w:id="76"/>
    </w:p>
    <w:p w14:paraId="490C84C5" w14:textId="06418C43" w:rsidR="001458E4" w:rsidRPr="00DC4F35" w:rsidRDefault="008675A0" w:rsidP="0078563B">
      <w:pPr>
        <w:rPr>
          <w:lang w:eastAsia="da-DK"/>
        </w:rPr>
      </w:pPr>
      <w:r w:rsidRPr="00DC4F35">
        <w:rPr>
          <w:lang w:eastAsia="da-DK"/>
        </w:rPr>
        <w:t xml:space="preserve">Den risikobaserede tilgang </w:t>
      </w:r>
      <w:r w:rsidR="00073FC8" w:rsidRPr="00DC4F35">
        <w:rPr>
          <w:lang w:eastAsia="da-DK"/>
        </w:rPr>
        <w:t xml:space="preserve">er gjort til en central del af databeskyttelsesforordningen. Konkret er den således </w:t>
      </w:r>
      <w:r w:rsidR="008D449F" w:rsidRPr="00DC4F35">
        <w:rPr>
          <w:lang w:eastAsia="da-DK"/>
        </w:rPr>
        <w:t xml:space="preserve">bl.a. </w:t>
      </w:r>
      <w:r w:rsidR="00073FC8" w:rsidRPr="00DC4F35">
        <w:rPr>
          <w:lang w:eastAsia="da-DK"/>
        </w:rPr>
        <w:t>forankret i de</w:t>
      </w:r>
      <w:r w:rsidR="008D449F" w:rsidRPr="00DC4F35">
        <w:rPr>
          <w:lang w:eastAsia="da-DK"/>
        </w:rPr>
        <w:t>n</w:t>
      </w:r>
      <w:r w:rsidR="00073FC8" w:rsidRPr="00DC4F35">
        <w:rPr>
          <w:lang w:eastAsia="da-DK"/>
        </w:rPr>
        <w:t xml:space="preserve"> meget væsentlige </w:t>
      </w:r>
      <w:r w:rsidR="008D449F" w:rsidRPr="00DC4F35">
        <w:rPr>
          <w:lang w:eastAsia="da-DK"/>
        </w:rPr>
        <w:t xml:space="preserve">bestemmelse om </w:t>
      </w:r>
      <w:r w:rsidR="00D66463" w:rsidRPr="00DC4F35">
        <w:rPr>
          <w:lang w:eastAsia="da-DK"/>
        </w:rPr>
        <w:t>den dataansvarliges ansvar</w:t>
      </w:r>
      <w:r w:rsidR="0059445E" w:rsidRPr="00DC4F35">
        <w:rPr>
          <w:lang w:eastAsia="da-DK"/>
        </w:rPr>
        <w:t xml:space="preserve"> i databeskyttelsesforordningens artikel </w:t>
      </w:r>
      <w:r w:rsidR="00D66463" w:rsidRPr="00DC4F35">
        <w:rPr>
          <w:lang w:eastAsia="da-DK"/>
        </w:rPr>
        <w:t>24</w:t>
      </w:r>
      <w:r w:rsidR="00073FC8" w:rsidRPr="00DC4F35">
        <w:rPr>
          <w:lang w:eastAsia="da-DK"/>
        </w:rPr>
        <w:t xml:space="preserve">, som gælder for al behandling af personoplysninger, som den dataansvarlige foretager sig. </w:t>
      </w:r>
      <w:r w:rsidR="00D66463" w:rsidRPr="00DC4F35">
        <w:rPr>
          <w:lang w:eastAsia="da-DK"/>
        </w:rPr>
        <w:t xml:space="preserve">Det følger således heraf, at </w:t>
      </w:r>
      <w:r w:rsidR="00D66463" w:rsidRPr="00DC4F35">
        <w:rPr>
          <w:i/>
          <w:iCs/>
          <w:lang w:eastAsia="da-DK"/>
        </w:rPr>
        <w:t>”[u]</w:t>
      </w:r>
      <w:proofErr w:type="spellStart"/>
      <w:r w:rsidR="00D66463" w:rsidRPr="00DC4F35">
        <w:rPr>
          <w:i/>
          <w:iCs/>
          <w:lang w:eastAsia="da-DK"/>
        </w:rPr>
        <w:t>nder</w:t>
      </w:r>
      <w:proofErr w:type="spellEnd"/>
      <w:r w:rsidR="00D66463" w:rsidRPr="00DC4F35">
        <w:rPr>
          <w:i/>
          <w:iCs/>
          <w:lang w:eastAsia="da-DK"/>
        </w:rPr>
        <w:t xml:space="preserve"> hensyntagen til den pågældende behandlings karakter, omfang, sammenhæng og formål samt risiciene af varierende sandsynlighed og alvor for fysiske personers rettigheder og frihedsrettigheder gennemfører den dataansvarlige passende tekniske og organisatoriske foranstaltninger for at sikre og for at være i stand til at påvise, at behandling er i overensstemmelse med denne forordning […].</w:t>
      </w:r>
      <w:r w:rsidR="00D66463" w:rsidRPr="00DC4F35">
        <w:rPr>
          <w:lang w:eastAsia="da-DK"/>
        </w:rPr>
        <w:t>”</w:t>
      </w:r>
      <w:r w:rsidR="001458E4" w:rsidRPr="00DC4F35">
        <w:rPr>
          <w:lang w:eastAsia="da-DK"/>
        </w:rPr>
        <w:t xml:space="preserve"> </w:t>
      </w:r>
      <w:r w:rsidR="0059445E" w:rsidRPr="00DC4F35">
        <w:rPr>
          <w:lang w:eastAsia="da-DK"/>
        </w:rPr>
        <w:t>Desuden</w:t>
      </w:r>
      <w:r w:rsidR="00D66463" w:rsidRPr="00DC4F35">
        <w:rPr>
          <w:lang w:eastAsia="da-DK"/>
        </w:rPr>
        <w:t xml:space="preserve"> er den risikobaserede tilgang indeholdt i </w:t>
      </w:r>
      <w:r w:rsidRPr="00DC4F35">
        <w:rPr>
          <w:lang w:eastAsia="da-DK"/>
        </w:rPr>
        <w:t xml:space="preserve">centrale </w:t>
      </w:r>
      <w:r w:rsidR="00D66463" w:rsidRPr="00DC4F35">
        <w:rPr>
          <w:lang w:eastAsia="da-DK"/>
        </w:rPr>
        <w:t>bestemmelser som artikel 25</w:t>
      </w:r>
      <w:r w:rsidRPr="00DC4F35">
        <w:rPr>
          <w:lang w:eastAsia="da-DK"/>
        </w:rPr>
        <w:t xml:space="preserve"> om databeskyttelse gennem design og gennem standardindstillinger</w:t>
      </w:r>
      <w:r w:rsidR="00D66463" w:rsidRPr="00DC4F35">
        <w:rPr>
          <w:lang w:eastAsia="da-DK"/>
        </w:rPr>
        <w:t>,</w:t>
      </w:r>
      <w:r w:rsidRPr="00DC4F35">
        <w:rPr>
          <w:lang w:eastAsia="da-DK"/>
        </w:rPr>
        <w:t xml:space="preserve"> artikel</w:t>
      </w:r>
      <w:r w:rsidR="00D66463" w:rsidRPr="00DC4F35">
        <w:rPr>
          <w:lang w:eastAsia="da-DK"/>
        </w:rPr>
        <w:t xml:space="preserve"> 28</w:t>
      </w:r>
      <w:r w:rsidRPr="00DC4F35">
        <w:rPr>
          <w:lang w:eastAsia="da-DK"/>
        </w:rPr>
        <w:t xml:space="preserve"> vedrørende </w:t>
      </w:r>
      <w:proofErr w:type="spellStart"/>
      <w:r w:rsidRPr="00DC4F35">
        <w:rPr>
          <w:lang w:eastAsia="da-DK"/>
        </w:rPr>
        <w:t>databehandlere</w:t>
      </w:r>
      <w:proofErr w:type="spellEnd"/>
      <w:r w:rsidRPr="00DC4F35">
        <w:rPr>
          <w:lang w:eastAsia="da-DK"/>
        </w:rPr>
        <w:t xml:space="preserve">, artikel </w:t>
      </w:r>
      <w:r w:rsidR="001458E4" w:rsidRPr="00DC4F35">
        <w:rPr>
          <w:lang w:eastAsia="da-DK"/>
        </w:rPr>
        <w:t>32</w:t>
      </w:r>
      <w:r w:rsidRPr="00DC4F35">
        <w:rPr>
          <w:lang w:eastAsia="da-DK"/>
        </w:rPr>
        <w:t xml:space="preserve"> vedrørende behandlingssikkerhed</w:t>
      </w:r>
      <w:r w:rsidR="004E4BA7" w:rsidRPr="00DC4F35">
        <w:rPr>
          <w:lang w:eastAsia="da-DK"/>
        </w:rPr>
        <w:t>,</w:t>
      </w:r>
      <w:r w:rsidRPr="00DC4F35">
        <w:rPr>
          <w:lang w:eastAsia="da-DK"/>
        </w:rPr>
        <w:t xml:space="preserve"> artikel 33-34 vedrørende brud på persondatasikkerhed samt artikel 35 vedrørende udarbejdelse af konsekvensanalyser ved højrisiko</w:t>
      </w:r>
      <w:r w:rsidR="00E03B4B" w:rsidRPr="00DC4F35">
        <w:rPr>
          <w:lang w:eastAsia="da-DK"/>
        </w:rPr>
        <w:t>-</w:t>
      </w:r>
      <w:r w:rsidRPr="00DC4F35">
        <w:rPr>
          <w:lang w:eastAsia="da-DK"/>
        </w:rPr>
        <w:t>behandlinger</w:t>
      </w:r>
      <w:r w:rsidR="001458E4" w:rsidRPr="00DC4F35">
        <w:rPr>
          <w:lang w:eastAsia="da-DK"/>
        </w:rPr>
        <w:t>.</w:t>
      </w:r>
      <w:r w:rsidR="00073FC8" w:rsidRPr="00DC4F35">
        <w:rPr>
          <w:lang w:eastAsia="da-DK"/>
        </w:rPr>
        <w:t xml:space="preserve"> </w:t>
      </w:r>
      <w:r w:rsidR="001458E4" w:rsidRPr="00DC4F35">
        <w:rPr>
          <w:lang w:eastAsia="da-DK"/>
        </w:rPr>
        <w:t>Endelig henviser den første bestemmelse i kapitel V</w:t>
      </w:r>
      <w:r w:rsidR="00FC1101" w:rsidRPr="00DC4F35">
        <w:rPr>
          <w:lang w:eastAsia="da-DK"/>
        </w:rPr>
        <w:t xml:space="preserve"> vedrørende overførsler til tredjelande</w:t>
      </w:r>
      <w:r w:rsidR="001458E4" w:rsidRPr="00DC4F35">
        <w:rPr>
          <w:lang w:eastAsia="da-DK"/>
        </w:rPr>
        <w:t>, artikel 44, også til</w:t>
      </w:r>
      <w:r w:rsidR="00FC1101" w:rsidRPr="00DC4F35">
        <w:rPr>
          <w:lang w:eastAsia="da-DK"/>
        </w:rPr>
        <w:t>,</w:t>
      </w:r>
      <w:r w:rsidR="001458E4" w:rsidRPr="00DC4F35">
        <w:rPr>
          <w:lang w:eastAsia="da-DK"/>
        </w:rPr>
        <w:t xml:space="preserve"> at overførsler efter kapitel V skal ske med forbehold </w:t>
      </w:r>
      <w:r w:rsidR="00E03B4B" w:rsidRPr="00DC4F35">
        <w:rPr>
          <w:lang w:eastAsia="da-DK"/>
        </w:rPr>
        <w:t xml:space="preserve">for </w:t>
      </w:r>
      <w:r w:rsidR="001458E4" w:rsidRPr="00DC4F35">
        <w:rPr>
          <w:lang w:eastAsia="da-DK"/>
        </w:rPr>
        <w:t>de øvrige bestemmelser i forordningen:</w:t>
      </w:r>
    </w:p>
    <w:p w14:paraId="7AF2672B" w14:textId="77777777" w:rsidR="001458E4" w:rsidRPr="00DC4F35" w:rsidRDefault="001458E4" w:rsidP="0078563B">
      <w:pPr>
        <w:rPr>
          <w:lang w:eastAsia="da-DK"/>
        </w:rPr>
      </w:pPr>
    </w:p>
    <w:p w14:paraId="2D09C943" w14:textId="003C9E72" w:rsidR="001458E4" w:rsidRPr="00DC4F35" w:rsidRDefault="001458E4" w:rsidP="001458E4">
      <w:pPr>
        <w:ind w:left="1304"/>
        <w:rPr>
          <w:lang w:eastAsia="da-DK"/>
        </w:rPr>
      </w:pPr>
      <w:r w:rsidRPr="00DC4F35">
        <w:rPr>
          <w:i/>
          <w:iCs/>
          <w:lang w:eastAsia="da-DK"/>
        </w:rPr>
        <w:t xml:space="preserve">”Enhver overførsel af personoplysninger, som underkastes behandling eller planlægges behandlet efter overførsel til et tredjeland eller en international organisation, </w:t>
      </w:r>
      <w:r w:rsidRPr="00DC4F35">
        <w:rPr>
          <w:i/>
          <w:iCs/>
          <w:u w:val="single"/>
          <w:lang w:eastAsia="da-DK"/>
        </w:rPr>
        <w:t>må kun finde sted, hvis betingelserne i dette kapitel med forbehold af de øvrige bestemmelser i denne forordning opfyldes af den dataansvarlige og databehandleren</w:t>
      </w:r>
      <w:r w:rsidRPr="00DC4F35">
        <w:rPr>
          <w:i/>
          <w:iCs/>
          <w:lang w:eastAsia="da-DK"/>
        </w:rPr>
        <w:t>, herunder ved videreoverførsel af personoplysninger fra det pågældende tredjeland eller den pågældende internationale or</w:t>
      </w:r>
      <w:r w:rsidRPr="00DC4F35">
        <w:rPr>
          <w:i/>
          <w:iCs/>
          <w:lang w:eastAsia="da-DK"/>
        </w:rPr>
        <w:lastRenderedPageBreak/>
        <w:t xml:space="preserve">ganisation til et andet tredjeland eller en anden international organisation. </w:t>
      </w:r>
      <w:r w:rsidRPr="00DC4F35">
        <w:rPr>
          <w:i/>
          <w:iCs/>
          <w:u w:val="single"/>
          <w:lang w:eastAsia="da-DK"/>
        </w:rPr>
        <w:t>Alle bestemmelserne i dette kapitel anvendes for at sikre, at det beskyttelsesniveau, som fysiske personer garanteres i medfør af denne forordning, ikke undermineres</w:t>
      </w:r>
      <w:r w:rsidRPr="00DC4F35">
        <w:rPr>
          <w:i/>
          <w:iCs/>
          <w:lang w:eastAsia="da-DK"/>
        </w:rPr>
        <w:t>.”</w:t>
      </w:r>
      <w:r w:rsidRPr="00DC4F35">
        <w:rPr>
          <w:lang w:eastAsia="da-DK"/>
        </w:rPr>
        <w:t xml:space="preserve"> (Vores understregning</w:t>
      </w:r>
      <w:r w:rsidR="00315E41" w:rsidRPr="00DC4F35">
        <w:rPr>
          <w:lang w:eastAsia="da-DK"/>
        </w:rPr>
        <w:t>er.</w:t>
      </w:r>
      <w:r w:rsidRPr="00DC4F35">
        <w:rPr>
          <w:lang w:eastAsia="da-DK"/>
        </w:rPr>
        <w:t>)</w:t>
      </w:r>
    </w:p>
    <w:p w14:paraId="5AF34B25" w14:textId="77777777" w:rsidR="001458E4" w:rsidRPr="00DC4F35" w:rsidRDefault="001458E4" w:rsidP="0078563B">
      <w:pPr>
        <w:rPr>
          <w:lang w:eastAsia="da-DK"/>
        </w:rPr>
      </w:pPr>
    </w:p>
    <w:p w14:paraId="2BF7B260" w14:textId="7F752E67" w:rsidR="001458E4" w:rsidRPr="00DC4F35" w:rsidRDefault="001458E4" w:rsidP="0078563B">
      <w:pPr>
        <w:rPr>
          <w:lang w:eastAsia="da-DK"/>
        </w:rPr>
      </w:pPr>
      <w:r w:rsidRPr="00DC4F35">
        <w:rPr>
          <w:lang w:eastAsia="da-DK"/>
        </w:rPr>
        <w:t>Det medfører således også en henvisning til de</w:t>
      </w:r>
      <w:r w:rsidR="004903DF" w:rsidRPr="00DC4F35">
        <w:rPr>
          <w:lang w:eastAsia="da-DK"/>
        </w:rPr>
        <w:t>n</w:t>
      </w:r>
      <w:r w:rsidRPr="00DC4F35">
        <w:rPr>
          <w:lang w:eastAsia="da-DK"/>
        </w:rPr>
        <w:t xml:space="preserve"> risikobaserede tilgang</w:t>
      </w:r>
      <w:r w:rsidR="00B6158E" w:rsidRPr="00DC4F35">
        <w:rPr>
          <w:lang w:eastAsia="da-DK"/>
        </w:rPr>
        <w:t xml:space="preserve"> og de risikovurderinger</w:t>
      </w:r>
      <w:r w:rsidR="00AB14F1" w:rsidRPr="00DC4F35">
        <w:rPr>
          <w:lang w:eastAsia="da-DK"/>
        </w:rPr>
        <w:t>,</w:t>
      </w:r>
      <w:r w:rsidRPr="00DC4F35">
        <w:rPr>
          <w:lang w:eastAsia="da-DK"/>
        </w:rPr>
        <w:t xml:space="preserve"> </w:t>
      </w:r>
      <w:r w:rsidR="00B6158E" w:rsidRPr="00DC4F35">
        <w:rPr>
          <w:lang w:eastAsia="da-DK"/>
        </w:rPr>
        <w:t xml:space="preserve">som </w:t>
      </w:r>
      <w:r w:rsidRPr="00DC4F35">
        <w:rPr>
          <w:lang w:eastAsia="da-DK"/>
        </w:rPr>
        <w:t>den dataansvarlige</w:t>
      </w:r>
      <w:r w:rsidR="00E03B4B" w:rsidRPr="00DC4F35">
        <w:rPr>
          <w:lang w:eastAsia="da-DK"/>
        </w:rPr>
        <w:t xml:space="preserve"> </w:t>
      </w:r>
      <w:r w:rsidRPr="00DC4F35">
        <w:rPr>
          <w:lang w:eastAsia="da-DK"/>
        </w:rPr>
        <w:t>er tilladt at foretage i forbindelse med dennes behandling af personoplysninger. Det anføres samtidig i artikel 44, at formålet med bestemmelserne i kapitel V er at sikre, at beskyttelsesniveauet ikke undermineres</w:t>
      </w:r>
      <w:r w:rsidR="00A654B6" w:rsidRPr="00DC4F35">
        <w:rPr>
          <w:lang w:eastAsia="da-DK"/>
        </w:rPr>
        <w:t xml:space="preserve"> – ikke at</w:t>
      </w:r>
      <w:r w:rsidRPr="00DC4F35">
        <w:rPr>
          <w:lang w:eastAsia="da-DK"/>
        </w:rPr>
        <w:t xml:space="preserve"> udelukke enhver risiko. Dette er igen i overensstemmelse med den risikobaserede tilgang</w:t>
      </w:r>
      <w:r w:rsidR="00B6158E" w:rsidRPr="00DC4F35">
        <w:rPr>
          <w:lang w:eastAsia="da-DK"/>
        </w:rPr>
        <w:t>.</w:t>
      </w:r>
    </w:p>
    <w:p w14:paraId="3FE9377C" w14:textId="77777777" w:rsidR="00961565" w:rsidRPr="00DC4F35" w:rsidRDefault="00961565" w:rsidP="0078563B">
      <w:pPr>
        <w:rPr>
          <w:lang w:eastAsia="da-DK"/>
        </w:rPr>
      </w:pPr>
    </w:p>
    <w:p w14:paraId="5C48EEF6" w14:textId="0511EF13" w:rsidR="00881023" w:rsidRPr="00DC4F35" w:rsidRDefault="00A71A56" w:rsidP="00392701">
      <w:pPr>
        <w:pStyle w:val="Overskrift3"/>
        <w:rPr>
          <w:lang w:eastAsia="da-DK"/>
        </w:rPr>
      </w:pPr>
      <w:bookmarkStart w:id="77" w:name="_Toc170824042"/>
      <w:proofErr w:type="spellStart"/>
      <w:r w:rsidRPr="00DC4F35">
        <w:rPr>
          <w:lang w:eastAsia="da-DK"/>
        </w:rPr>
        <w:t>Schrems</w:t>
      </w:r>
      <w:proofErr w:type="spellEnd"/>
      <w:r w:rsidRPr="00DC4F35">
        <w:rPr>
          <w:lang w:eastAsia="da-DK"/>
        </w:rPr>
        <w:t xml:space="preserve"> II-</w:t>
      </w:r>
      <w:r w:rsidR="0009067D" w:rsidRPr="00DC4F35">
        <w:rPr>
          <w:lang w:eastAsia="da-DK"/>
        </w:rPr>
        <w:t>dommen</w:t>
      </w:r>
      <w:bookmarkEnd w:id="77"/>
      <w:r w:rsidR="0009067D" w:rsidRPr="00DC4F35">
        <w:rPr>
          <w:lang w:eastAsia="da-DK"/>
        </w:rPr>
        <w:t xml:space="preserve"> </w:t>
      </w:r>
    </w:p>
    <w:p w14:paraId="5CA39813" w14:textId="402AFAAA" w:rsidR="00595DB2" w:rsidRPr="00DC4F35" w:rsidRDefault="00595DB2" w:rsidP="00595DB2">
      <w:r w:rsidRPr="00DC4F35">
        <w:t xml:space="preserve">Dommen fra den Europæiske Unions Domstol i sag C-311/18, Data </w:t>
      </w:r>
      <w:proofErr w:type="spellStart"/>
      <w:r w:rsidRPr="00DC4F35">
        <w:t>Protection</w:t>
      </w:r>
      <w:proofErr w:type="spellEnd"/>
      <w:r w:rsidRPr="00DC4F35">
        <w:t xml:space="preserve"> </w:t>
      </w:r>
      <w:proofErr w:type="spellStart"/>
      <w:r w:rsidRPr="00DC4F35">
        <w:t>Commissioner</w:t>
      </w:r>
      <w:proofErr w:type="spellEnd"/>
      <w:r w:rsidRPr="00DC4F35">
        <w:t xml:space="preserve"> mod Facebook Ireland Ltd og Maximillian </w:t>
      </w:r>
      <w:proofErr w:type="spellStart"/>
      <w:r w:rsidRPr="00DC4F35">
        <w:t>Schrems</w:t>
      </w:r>
      <w:proofErr w:type="spellEnd"/>
      <w:r w:rsidRPr="00DC4F35">
        <w:t>, afsagt den 16. juli 2020, (herefter ”</w:t>
      </w:r>
      <w:proofErr w:type="spellStart"/>
      <w:r w:rsidRPr="00DC4F35">
        <w:rPr>
          <w:i/>
        </w:rPr>
        <w:t>Schrems</w:t>
      </w:r>
      <w:proofErr w:type="spellEnd"/>
      <w:r w:rsidRPr="00DC4F35">
        <w:rPr>
          <w:i/>
        </w:rPr>
        <w:t>-II</w:t>
      </w:r>
      <w:r w:rsidRPr="00DC4F35">
        <w:t xml:space="preserve">”) udsprang af en klagesag fra det irske datatilsyn på baggrund af en klage fra den østrigske statsborger, Maximillian </w:t>
      </w:r>
      <w:proofErr w:type="spellStart"/>
      <w:r w:rsidRPr="00DC4F35">
        <w:t>Schrems</w:t>
      </w:r>
      <w:proofErr w:type="spellEnd"/>
      <w:r w:rsidRPr="00DC4F35">
        <w:t>, om overførsel af personoplysninger fra Facebook Ireland til Facebooks moderselskab i USA. EU-domstolen erklærede ved dommen</w:t>
      </w:r>
      <w:r w:rsidR="00F67DD1" w:rsidRPr="00DC4F35">
        <w:t xml:space="preserve"> EU-Kommissionens</w:t>
      </w:r>
      <w:r w:rsidRPr="00DC4F35">
        <w:t xml:space="preserve"> </w:t>
      </w:r>
      <w:r w:rsidR="002D3F10" w:rsidRPr="00DC4F35">
        <w:t xml:space="preserve">dagældende </w:t>
      </w:r>
      <w:proofErr w:type="spellStart"/>
      <w:r w:rsidRPr="00DC4F35">
        <w:t>Privacy</w:t>
      </w:r>
      <w:proofErr w:type="spellEnd"/>
      <w:r w:rsidRPr="00DC4F35">
        <w:t xml:space="preserve"> </w:t>
      </w:r>
      <w:proofErr w:type="spellStart"/>
      <w:r w:rsidRPr="00DC4F35">
        <w:t>Shield</w:t>
      </w:r>
      <w:proofErr w:type="spellEnd"/>
      <w:r w:rsidRPr="00DC4F35">
        <w:t xml:space="preserve">-afgørelse for ugyldig, således at der ikke kan ske overførsel af personoplysninger fra EU til virksomheder i USA ved brug af </w:t>
      </w:r>
      <w:proofErr w:type="spellStart"/>
      <w:r w:rsidRPr="00DC4F35">
        <w:t>Privacy</w:t>
      </w:r>
      <w:proofErr w:type="spellEnd"/>
      <w:r w:rsidRPr="00DC4F35">
        <w:t xml:space="preserve"> </w:t>
      </w:r>
      <w:proofErr w:type="spellStart"/>
      <w:r w:rsidRPr="00DC4F35">
        <w:t>Shield</w:t>
      </w:r>
      <w:proofErr w:type="spellEnd"/>
      <w:r w:rsidRPr="00DC4F35">
        <w:t>. EU-domstolen fastslog samtidig, at EU-Kommissionens standardkontrakter fortsat er gyldige.</w:t>
      </w:r>
    </w:p>
    <w:p w14:paraId="1D746AF4" w14:textId="77777777" w:rsidR="00595DB2" w:rsidRPr="00DC4F35" w:rsidRDefault="00595DB2" w:rsidP="00595DB2"/>
    <w:p w14:paraId="144E16CF" w14:textId="303C2694" w:rsidR="00D343BE" w:rsidRPr="00DC4F35" w:rsidRDefault="00D343BE" w:rsidP="00D343BE">
      <w:pPr>
        <w:rPr>
          <w:lang w:eastAsia="da-DK"/>
        </w:rPr>
      </w:pPr>
      <w:r w:rsidRPr="00DC4F35">
        <w:rPr>
          <w:lang w:eastAsia="da-DK"/>
        </w:rPr>
        <w:t xml:space="preserve">Domstolen fastslog i dommen den såkaldte </w:t>
      </w:r>
      <w:proofErr w:type="spellStart"/>
      <w:r w:rsidRPr="00DC4F35">
        <w:rPr>
          <w:lang w:eastAsia="da-DK"/>
        </w:rPr>
        <w:t>Schrems</w:t>
      </w:r>
      <w:proofErr w:type="spellEnd"/>
      <w:r w:rsidRPr="00DC4F35">
        <w:rPr>
          <w:lang w:eastAsia="da-DK"/>
        </w:rPr>
        <w:t xml:space="preserve"> II-doktrin, der udgør hjertet i dommen. Denne doktrin fastsætter grundlæggende, at beskyttelsen af personoplysninger, som følger af databeskyttelsesforordningen og EU-charteret, ”følger med”, når personoplysninger eksporteres fra EU-lande til tredjelande.</w:t>
      </w:r>
    </w:p>
    <w:p w14:paraId="12CDBBFF" w14:textId="77777777" w:rsidR="00D343BE" w:rsidRPr="00DC4F35" w:rsidRDefault="00D343BE" w:rsidP="00D343BE">
      <w:pPr>
        <w:rPr>
          <w:lang w:eastAsia="da-DK"/>
        </w:rPr>
      </w:pPr>
    </w:p>
    <w:p w14:paraId="79B1F356" w14:textId="77777777" w:rsidR="00D343BE" w:rsidRPr="00DC4F35" w:rsidRDefault="00D343BE" w:rsidP="00D343BE">
      <w:pPr>
        <w:rPr>
          <w:lang w:eastAsia="da-DK"/>
        </w:rPr>
      </w:pPr>
      <w:r w:rsidRPr="00DC4F35">
        <w:rPr>
          <w:lang w:eastAsia="da-DK"/>
        </w:rPr>
        <w:t xml:space="preserve">Domstolen fastslog således nærmere bestemt i præmis 105, at databeskyttelsesforordningens artikel 46, stk. 1, og artikel 46, stk. 2, litra c), skal fortolkes således, at de fornødne garantier, de rettigheder, som kan håndhæves, og de effektive retsmidler, som kræves ved disse bestemmelser, skal sikre, at der for de rettigheder, som tilkommer personer, hvis oplysninger overføres til et tredjeland på grundlag af standardbestemmelser om databeskyttelse, gælder et beskyttelsesniveau, der i det væsentlige svarer til det niveau, der er sikret i Unionen ved databeskyttelsesforordningen, sammenholdt med EU-chartret. </w:t>
      </w:r>
    </w:p>
    <w:p w14:paraId="3AD111F2" w14:textId="77777777" w:rsidR="00D343BE" w:rsidRPr="00DC4F35" w:rsidRDefault="00D343BE" w:rsidP="00D343BE">
      <w:pPr>
        <w:rPr>
          <w:lang w:eastAsia="da-DK"/>
        </w:rPr>
      </w:pPr>
    </w:p>
    <w:p w14:paraId="01AA3361" w14:textId="2245C2D5" w:rsidR="00D343BE" w:rsidRPr="00DC4F35" w:rsidRDefault="00D343BE" w:rsidP="00D343BE">
      <w:pPr>
        <w:rPr>
          <w:lang w:eastAsia="da-DK"/>
        </w:rPr>
      </w:pPr>
      <w:r w:rsidRPr="00DC4F35">
        <w:rPr>
          <w:lang w:eastAsia="da-DK"/>
        </w:rPr>
        <w:t xml:space="preserve">Med henblik herpå skal der ved vurderingen af det beskyttelsesniveau, som er sikret i forbindelse med en sådan overførsel, navnlig tages hensyn til både de kontraktvilkår, som er aftalt mellem den dataansvarlige eller dennes databehandler, der er etableret i Unionen, og modtageren af overførslen, der er etableret i det pågældende tredjeland, og – for så vidt angår en eventuel adgang for dette tredjelands offentlige myndigheder til de således overførte personoplysninger – til de relevante forhold i dettes </w:t>
      </w:r>
      <w:r w:rsidR="00A70867" w:rsidRPr="00DC4F35">
        <w:rPr>
          <w:lang w:eastAsia="da-DK"/>
        </w:rPr>
        <w:t xml:space="preserve">lands </w:t>
      </w:r>
      <w:r w:rsidRPr="00DC4F35">
        <w:rPr>
          <w:lang w:eastAsia="da-DK"/>
        </w:rPr>
        <w:lastRenderedPageBreak/>
        <w:t xml:space="preserve">retssystem, herunder navnlig de elementer, som er opregnet i </w:t>
      </w:r>
      <w:r w:rsidR="00EB1D4E" w:rsidRPr="00DC4F35">
        <w:rPr>
          <w:lang w:eastAsia="da-DK"/>
        </w:rPr>
        <w:t>databeskyttelsesforordningens</w:t>
      </w:r>
      <w:r w:rsidRPr="00DC4F35">
        <w:rPr>
          <w:lang w:eastAsia="da-DK"/>
        </w:rPr>
        <w:t xml:space="preserve"> artikel 45, stk. 2.</w:t>
      </w:r>
    </w:p>
    <w:p w14:paraId="7981C822" w14:textId="77777777" w:rsidR="00D343BE" w:rsidRPr="00DC4F35" w:rsidRDefault="00D343BE" w:rsidP="00D343BE">
      <w:pPr>
        <w:rPr>
          <w:lang w:eastAsia="da-DK"/>
        </w:rPr>
      </w:pPr>
    </w:p>
    <w:p w14:paraId="02E7AD87" w14:textId="77777777" w:rsidR="00D343BE" w:rsidRPr="00DC4F35" w:rsidRDefault="00D343BE" w:rsidP="00D343BE">
      <w:pPr>
        <w:rPr>
          <w:lang w:eastAsia="da-DK"/>
        </w:rPr>
      </w:pPr>
      <w:r w:rsidRPr="00DC4F35">
        <w:rPr>
          <w:lang w:eastAsia="da-DK"/>
        </w:rPr>
        <w:t xml:space="preserve">Domstolen præciserede i sin analyse i præmis 94, at </w:t>
      </w:r>
    </w:p>
    <w:p w14:paraId="0CF8C5B9" w14:textId="77777777" w:rsidR="00D343BE" w:rsidRPr="00DC4F35" w:rsidRDefault="00D343BE" w:rsidP="00D343BE">
      <w:pPr>
        <w:rPr>
          <w:lang w:eastAsia="da-DK"/>
        </w:rPr>
      </w:pPr>
    </w:p>
    <w:p w14:paraId="3EC60E18" w14:textId="77777777" w:rsidR="00D343BE" w:rsidRPr="00DC4F35" w:rsidRDefault="00D343BE" w:rsidP="00D343BE">
      <w:pPr>
        <w:ind w:left="1304"/>
        <w:rPr>
          <w:lang w:eastAsia="da-DK"/>
        </w:rPr>
      </w:pPr>
      <w:r w:rsidRPr="00DC4F35">
        <w:rPr>
          <w:i/>
          <w:iCs/>
          <w:lang w:eastAsia="da-DK"/>
        </w:rPr>
        <w:t>”udtrykket »et tilstrækkeligt beskyttelsesniveau« ikke [kræver], at det pågældende tredjeland garanterer et beskyttelsesniveau, som er identisk med det niveau, som er sikret i Unionens retsorden, men det skal, således som det bekræftes i 104. betragtning til denne forordning, forstås således, at det opstiller et krav om, at dette tredjeland som følge af sin nationale lovgivning eller sine internationale forpligtelser faktisk sikrer et beskyttelsesniveau for frihedsrettighederne og de grundlæggende rettigheder, som i det væsentlige svarer til det niveau, der er sikret inden for Unionen i medfør af den nævnte forordning, sammenholdt med chartret.”</w:t>
      </w:r>
    </w:p>
    <w:p w14:paraId="4F178EEB" w14:textId="77777777" w:rsidR="00D343BE" w:rsidRPr="00DC4F35" w:rsidRDefault="00D343BE" w:rsidP="00D343BE">
      <w:pPr>
        <w:rPr>
          <w:lang w:eastAsia="da-DK"/>
        </w:rPr>
      </w:pPr>
    </w:p>
    <w:p w14:paraId="4BF96693" w14:textId="77777777" w:rsidR="00EF0DE2" w:rsidRPr="00DC4F35" w:rsidRDefault="00EF0DE2" w:rsidP="00EF0DE2">
      <w:pPr>
        <w:rPr>
          <w:lang w:eastAsia="da-DK"/>
        </w:rPr>
      </w:pPr>
      <w:r w:rsidRPr="00DC4F35">
        <w:rPr>
          <w:lang w:eastAsia="da-DK"/>
        </w:rPr>
        <w:t>Herefter tog Domstolen stilling til gyldigheden af EU-Kommissionens afgørelse om standardkontraktbestemmelser for overførsel af personoplysninger til tredjelande.</w:t>
      </w:r>
    </w:p>
    <w:p w14:paraId="39E0F430" w14:textId="77777777" w:rsidR="00EF0DE2" w:rsidRPr="00DC4F35" w:rsidRDefault="00EF0DE2" w:rsidP="00EF0DE2">
      <w:pPr>
        <w:rPr>
          <w:lang w:eastAsia="da-DK"/>
        </w:rPr>
      </w:pPr>
    </w:p>
    <w:p w14:paraId="0604A6AA" w14:textId="2799660E" w:rsidR="00EF0DE2" w:rsidRPr="00DC4F35" w:rsidRDefault="00EF0DE2" w:rsidP="00EF0DE2">
      <w:pPr>
        <w:rPr>
          <w:lang w:eastAsia="da-DK"/>
        </w:rPr>
      </w:pPr>
      <w:r w:rsidRPr="00DC4F35">
        <w:rPr>
          <w:lang w:eastAsia="da-DK"/>
        </w:rPr>
        <w:t xml:space="preserve">Standardkontraktbestemmelserne gælder alene inter </w:t>
      </w:r>
      <w:proofErr w:type="spellStart"/>
      <w:r w:rsidRPr="00DC4F35">
        <w:rPr>
          <w:lang w:eastAsia="da-DK"/>
        </w:rPr>
        <w:t>partes</w:t>
      </w:r>
      <w:proofErr w:type="spellEnd"/>
      <w:r w:rsidRPr="00DC4F35">
        <w:rPr>
          <w:lang w:eastAsia="da-DK"/>
        </w:rPr>
        <w:t xml:space="preserve"> – dvs. mellem dataeksportøren og importøren af personoplysningerne – og binder således ikke de offentlige myndigheder i de tredjelande, som personoplysninger bliver eller kan blive overført til på grundlag af disse bestemmelser. EU-</w:t>
      </w:r>
      <w:r w:rsidR="005A4230" w:rsidRPr="00DC4F35">
        <w:rPr>
          <w:lang w:eastAsia="da-DK"/>
        </w:rPr>
        <w:t>do</w:t>
      </w:r>
      <w:r w:rsidRPr="00DC4F35">
        <w:rPr>
          <w:lang w:eastAsia="da-DK"/>
        </w:rPr>
        <w:t>mstolen undersøgte indledningsvist</w:t>
      </w:r>
      <w:r w:rsidR="005A4230" w:rsidRPr="00DC4F35">
        <w:rPr>
          <w:lang w:eastAsia="da-DK"/>
        </w:rPr>
        <w:t>,</w:t>
      </w:r>
      <w:r w:rsidRPr="00DC4F35">
        <w:rPr>
          <w:lang w:eastAsia="da-DK"/>
        </w:rPr>
        <w:t xml:space="preserve"> om dette forhold i sig selv medfører, at EU-Kommissionens afgørelse om standardkontraktbestemmelser </w:t>
      </w:r>
      <w:r w:rsidR="005A4230" w:rsidRPr="00DC4F35">
        <w:rPr>
          <w:lang w:eastAsia="da-DK"/>
        </w:rPr>
        <w:t>var</w:t>
      </w:r>
      <w:r w:rsidRPr="00DC4F35">
        <w:rPr>
          <w:lang w:eastAsia="da-DK"/>
        </w:rPr>
        <w:t xml:space="preserve"> </w:t>
      </w:r>
      <w:proofErr w:type="gramStart"/>
      <w:r w:rsidRPr="00DC4F35">
        <w:rPr>
          <w:lang w:eastAsia="da-DK"/>
        </w:rPr>
        <w:t>ugyldig</w:t>
      </w:r>
      <w:proofErr w:type="gramEnd"/>
      <w:r w:rsidRPr="00DC4F35">
        <w:rPr>
          <w:lang w:eastAsia="da-DK"/>
        </w:rPr>
        <w:t xml:space="preserve">, jf. præmis 127. </w:t>
      </w:r>
    </w:p>
    <w:p w14:paraId="7B7A7755" w14:textId="77777777" w:rsidR="00EF0DE2" w:rsidRPr="00DC4F35" w:rsidRDefault="00EF0DE2" w:rsidP="00EF0DE2">
      <w:pPr>
        <w:tabs>
          <w:tab w:val="left" w:pos="1624"/>
        </w:tabs>
        <w:rPr>
          <w:lang w:eastAsia="da-DK"/>
        </w:rPr>
      </w:pPr>
    </w:p>
    <w:p w14:paraId="24410532" w14:textId="77777777" w:rsidR="00EF0DE2" w:rsidRPr="00DC4F35" w:rsidRDefault="00EF0DE2" w:rsidP="00EF0DE2">
      <w:pPr>
        <w:rPr>
          <w:lang w:eastAsia="da-DK"/>
        </w:rPr>
      </w:pPr>
      <w:r w:rsidRPr="00DC4F35">
        <w:rPr>
          <w:lang w:eastAsia="da-DK"/>
        </w:rPr>
        <w:t>Domstolen henviste herved i præmis 132-133 til, at den dataansvarlige eller databehandleren har mulighed for at vedtage supplerende foranstaltninger i tillæg til standardkontraktbestemmelserne for at sikre, at det fornødne beskyttelsesniveau efter EU-retten er overholdt:</w:t>
      </w:r>
    </w:p>
    <w:p w14:paraId="6D7118D1" w14:textId="77777777" w:rsidR="00EF0DE2" w:rsidRPr="00DC4F35" w:rsidRDefault="00EF0DE2" w:rsidP="00EF0DE2">
      <w:pPr>
        <w:rPr>
          <w:lang w:eastAsia="da-DK"/>
        </w:rPr>
      </w:pPr>
    </w:p>
    <w:p w14:paraId="26D1F8F9" w14:textId="77777777" w:rsidR="00EF0DE2" w:rsidRPr="00DC4F35" w:rsidRDefault="00EF0DE2" w:rsidP="0050739D">
      <w:pPr>
        <w:ind w:left="1276"/>
        <w:rPr>
          <w:i/>
          <w:iCs/>
          <w:lang w:eastAsia="da-DK"/>
        </w:rPr>
      </w:pPr>
      <w:r w:rsidRPr="00DC4F35">
        <w:rPr>
          <w:i/>
          <w:iCs/>
          <w:lang w:eastAsia="da-DK"/>
        </w:rPr>
        <w:t xml:space="preserve">”(132) Eftersom det ligger i den kontraktlige karakter af standardbestemmelserne om databeskyttelse, at disse, således som det fremgår af nærværende doms præmis 125, ikke kan binde myndighederne i tredjelande, men databeskyttelsesforordningens artikel 44, artikel 46, stk. 1, og artikel 46, stk. 2, litra c), fortolket i lyset af chartrets artikel 7, 8 og 47, kræver, at det beskyttelsesniveau, som fysiske personer garanteres i medfør af denne forordning, ikke undermineres, kan det blive nødvendigt at supplere de garantier, som disse standardbestemmelser om databeskyttelse indeholder. I denne forbindelse er det i 109. betragtning til forordningen anført, at »[d]en dataansvarliges […] mulighed for at bruge standardbestemmelser om databeskyttelse vedtaget af Kommissionen […] [ikke bør] udelukke muligheden for, at den dataansvarlige […] medtager andre bestemmelser eller yderligere garantier«, og det </w:t>
      </w:r>
      <w:r w:rsidRPr="00DC4F35">
        <w:rPr>
          <w:i/>
          <w:iCs/>
          <w:lang w:eastAsia="da-DK"/>
        </w:rPr>
        <w:lastRenderedPageBreak/>
        <w:t>er navnlig præciseret, at den dataansvarlige »bør tilskyndes til at give yderligere garantier […], der supplerer standardbestemmelserne om [data]beskyttelse«.</w:t>
      </w:r>
    </w:p>
    <w:p w14:paraId="6049236D" w14:textId="77777777" w:rsidR="00EF0DE2" w:rsidRPr="00DC4F35" w:rsidRDefault="00EF0DE2" w:rsidP="0050739D">
      <w:pPr>
        <w:ind w:left="1276"/>
        <w:rPr>
          <w:i/>
          <w:iCs/>
          <w:lang w:eastAsia="da-DK"/>
        </w:rPr>
      </w:pPr>
    </w:p>
    <w:p w14:paraId="70E0E490" w14:textId="77777777" w:rsidR="00EF0DE2" w:rsidRPr="00DC4F35" w:rsidRDefault="00EF0DE2" w:rsidP="0050739D">
      <w:pPr>
        <w:ind w:left="1276"/>
        <w:rPr>
          <w:i/>
          <w:iCs/>
          <w:lang w:eastAsia="da-DK"/>
        </w:rPr>
      </w:pPr>
      <w:r w:rsidRPr="00DC4F35">
        <w:rPr>
          <w:i/>
          <w:iCs/>
          <w:lang w:eastAsia="da-DK"/>
        </w:rPr>
        <w:t xml:space="preserve">(133) Det fremgår således, at de standardbestemmelser om databeskyttelse, som Kommissionen har vedtaget i medfør af databeskyttelsesforordningens artikel 46, stk. 2, litra c), alene tager sigte på at give dataansvarlige eller </w:t>
      </w:r>
      <w:proofErr w:type="spellStart"/>
      <w:r w:rsidRPr="00DC4F35">
        <w:rPr>
          <w:i/>
          <w:iCs/>
          <w:lang w:eastAsia="da-DK"/>
        </w:rPr>
        <w:t>databehandlere</w:t>
      </w:r>
      <w:proofErr w:type="spellEnd"/>
      <w:r w:rsidRPr="00DC4F35">
        <w:rPr>
          <w:i/>
          <w:iCs/>
          <w:lang w:eastAsia="da-DK"/>
        </w:rPr>
        <w:t>, som er etableret i unionen, kontraktlige garantier, der anvendes ens i alle tredjelande og dermed uafhængigt af det beskyttelsesniveau, som garanteres i hvert af disse. For så vidt som disse standardbestemmelser om databeskyttelse, henset til deres karakter, ikke kan give garantier, der rækker videre end en kontraktlig forpligtelse til at sikre, at det beskyttelsesniveau, der kræves efter EU-retten, er overholdt, kan der i forhold til disse, afhængigt af situationen i tredjelandet eller tredjelandene, være behov for, at den dataansvarlige vedtager supplerende foranstaltninger for at sikre, at dette beskyttelsesniveau er overholdt.”</w:t>
      </w:r>
    </w:p>
    <w:p w14:paraId="7EAD4B97" w14:textId="77777777" w:rsidR="00EF0DE2" w:rsidRPr="00DC4F35" w:rsidRDefault="00EF0DE2" w:rsidP="00EF0DE2">
      <w:pPr>
        <w:rPr>
          <w:lang w:eastAsia="da-DK"/>
        </w:rPr>
      </w:pPr>
    </w:p>
    <w:p w14:paraId="5939D39E" w14:textId="77777777" w:rsidR="00EF0DE2" w:rsidRPr="00DC4F35" w:rsidRDefault="00EF0DE2" w:rsidP="00EF0DE2">
      <w:pPr>
        <w:rPr>
          <w:lang w:eastAsia="da-DK"/>
        </w:rPr>
      </w:pPr>
      <w:r w:rsidRPr="00DC4F35">
        <w:rPr>
          <w:lang w:eastAsia="da-DK"/>
        </w:rPr>
        <w:t xml:space="preserve">Domstolen henviste endvidere i præmis 134 til, at det tilkommer den dataansvarlige eller databehandleren at undersøge, om tredjelandets lovgivning sikrer den fornødne beskyttelse: </w:t>
      </w:r>
    </w:p>
    <w:p w14:paraId="1A7846AB" w14:textId="77777777" w:rsidR="00EF0DE2" w:rsidRPr="00DC4F35" w:rsidRDefault="00EF0DE2" w:rsidP="0050739D">
      <w:pPr>
        <w:tabs>
          <w:tab w:val="left" w:pos="1276"/>
        </w:tabs>
        <w:ind w:left="1276"/>
        <w:rPr>
          <w:lang w:eastAsia="da-DK"/>
        </w:rPr>
      </w:pPr>
    </w:p>
    <w:p w14:paraId="133BC1AD" w14:textId="77777777" w:rsidR="00EF0DE2" w:rsidRPr="00DC4F35" w:rsidRDefault="00EF0DE2" w:rsidP="0050739D">
      <w:pPr>
        <w:tabs>
          <w:tab w:val="left" w:pos="1276"/>
        </w:tabs>
        <w:ind w:left="1276"/>
        <w:rPr>
          <w:i/>
          <w:iCs/>
          <w:lang w:eastAsia="da-DK"/>
        </w:rPr>
      </w:pPr>
      <w:proofErr w:type="gramStart"/>
      <w:r w:rsidRPr="00DC4F35">
        <w:rPr>
          <w:i/>
          <w:iCs/>
          <w:lang w:eastAsia="da-DK"/>
        </w:rPr>
        <w:t>”(</w:t>
      </w:r>
      <w:proofErr w:type="gramEnd"/>
      <w:r w:rsidRPr="00DC4F35">
        <w:rPr>
          <w:i/>
          <w:iCs/>
          <w:lang w:eastAsia="da-DK"/>
        </w:rPr>
        <w:t>134) I denne henseende forudsætter den kontraktmekanisme, der er fastsat i databeskyttelsesforordningens artikel 46, stk. 2, litra c), således som generaladvokaten har anført i punkt 126 i forslaget til afgørelse, at ansvaret placeres hos den dataansvarlige eller dennes databehandler, som er etableret i Unionen, og subsidiært hos den kompetente tilsynsmyndighed. Det tilkommer derfor først og fremmest den dataansvarlige eller dennes databehandler i hvert enkelt tilfælde og, hvor det er relevant, i samarbejde med modtageren af overførslen at undersøge, om lovgivningen i bestemmelsestredjelandet sikrer den fornødne beskyttelse henset til EU-retten af de personoplysninger, som overføres på grundlag af standardbestemmelser om databeskyttelse, ved efter behov at give supplerende garantier i forhold til de garantier, som disse bestemmelser yder.”</w:t>
      </w:r>
    </w:p>
    <w:p w14:paraId="7681BC1F" w14:textId="77777777" w:rsidR="00EF0DE2" w:rsidRPr="00DC4F35" w:rsidRDefault="00EF0DE2" w:rsidP="00EF0DE2">
      <w:pPr>
        <w:rPr>
          <w:lang w:eastAsia="da-DK"/>
        </w:rPr>
      </w:pPr>
    </w:p>
    <w:p w14:paraId="6A1AECE4" w14:textId="77777777" w:rsidR="00EF0DE2" w:rsidRPr="00DC4F35" w:rsidRDefault="00EF0DE2" w:rsidP="00EF0DE2">
      <w:pPr>
        <w:rPr>
          <w:lang w:eastAsia="da-DK"/>
        </w:rPr>
      </w:pPr>
      <w:r w:rsidRPr="00DC4F35">
        <w:rPr>
          <w:lang w:eastAsia="da-DK"/>
        </w:rPr>
        <w:t>Domstolen henviste endelig i præmis 135 til, at såfremt den dataansvarlige eller dennes databehandler, som er etableret i Unionen, ikke er i stand til at træffe supplerende foranstaltninger, som er tilstrækkelige til at garantere en sådan beskyttelse, skal de, eller subsidiært den kompetente tilsynsmyndighed, suspendere eller indstille overførslen af personoplysninger til det pågældende tredjeland. Dette er navnlig tilfældet, når lovgivningen i dette tredjeland pålægger modtageren af en overførsel af personoplysninger fra Unionen forpligtelser, som er i strid med disse bestemmelser og derfor kan bringe den kontraktlige garanti for en tilstrækkelig beskyttelse mod adgang for de offentlige myndigheder i tredjelandet til disse oplysninger i fare.</w:t>
      </w:r>
    </w:p>
    <w:p w14:paraId="25FEDBF1" w14:textId="77777777" w:rsidR="00EF0DE2" w:rsidRPr="00DC4F35" w:rsidRDefault="00EF0DE2" w:rsidP="00EF0DE2">
      <w:pPr>
        <w:rPr>
          <w:lang w:eastAsia="da-DK"/>
        </w:rPr>
      </w:pPr>
    </w:p>
    <w:p w14:paraId="3D4882B8" w14:textId="11701601" w:rsidR="00EF0DE2" w:rsidRPr="00DC4F35" w:rsidRDefault="00EF0DE2" w:rsidP="00EF0DE2">
      <w:pPr>
        <w:rPr>
          <w:lang w:eastAsia="da-DK"/>
        </w:rPr>
      </w:pPr>
      <w:r w:rsidRPr="00DC4F35">
        <w:rPr>
          <w:lang w:eastAsia="da-DK"/>
        </w:rPr>
        <w:lastRenderedPageBreak/>
        <w:t>På denne baggrund konkluderede EU-</w:t>
      </w:r>
      <w:r w:rsidR="005A4230" w:rsidRPr="00DC4F35">
        <w:rPr>
          <w:lang w:eastAsia="da-DK"/>
        </w:rPr>
        <w:t>d</w:t>
      </w:r>
      <w:r w:rsidRPr="00DC4F35">
        <w:rPr>
          <w:lang w:eastAsia="da-DK"/>
        </w:rPr>
        <w:t>omstolen, at den omstændighed alene, at standardbestemmelser om databeskyttelse i en afgørelse vedtaget af Kommissionen i henhold til databeskyttelsesforordningens artikel 46, stk. 2, litra c), såsom bestemmelserne i bilaget til afgørelsen om standardkontraktbestemmelser, ikke er bindende for myndighederne i de tredjelande, som personoplysninger kan blive overført til, ikke kan påvirke gyldigheden af denne afgørelse, jf. præmis 136.</w:t>
      </w:r>
    </w:p>
    <w:p w14:paraId="21CBA257" w14:textId="77777777" w:rsidR="00EF0DE2" w:rsidRPr="00DC4F35" w:rsidRDefault="00EF0DE2" w:rsidP="00EF0DE2">
      <w:pPr>
        <w:rPr>
          <w:lang w:eastAsia="da-DK"/>
        </w:rPr>
      </w:pPr>
    </w:p>
    <w:p w14:paraId="1C1FA0C0" w14:textId="77777777" w:rsidR="00EF0DE2" w:rsidRPr="00DC4F35" w:rsidRDefault="00EF0DE2" w:rsidP="00EF0DE2">
      <w:pPr>
        <w:rPr>
          <w:lang w:eastAsia="da-DK"/>
        </w:rPr>
      </w:pPr>
      <w:r w:rsidRPr="00DC4F35">
        <w:rPr>
          <w:lang w:eastAsia="da-DK"/>
        </w:rPr>
        <w:t>Domstolen bemærkede i præmis 137, at gyldigheden af en sådan afgørelse derimod afhænger af, om den i overensstemmelse med det krav, der følger af databeskyttelsesforordningens artikel 46, stk. 1, og artikel 46, stk. 2, litra c), fortolket i lyset af chartrets artikel 7, 8 og 47, omfatter effektive mekanismer, som i praksis gør det muligt at sikre, at det i EU-retten krævede beskyttelsesniveau overholdes, og at overførslerne af personoplysninger på grundlag af sådanne bestemmelser suspenderes eller forbydes, hvis disse bestemmelser overtrædes, eller hvis det er umuligt at overholde dem (</w:t>
      </w:r>
      <w:proofErr w:type="spellStart"/>
      <w:r w:rsidRPr="00DC4F35">
        <w:rPr>
          <w:lang w:eastAsia="da-DK"/>
        </w:rPr>
        <w:t>Schrems</w:t>
      </w:r>
      <w:proofErr w:type="spellEnd"/>
      <w:r w:rsidRPr="00DC4F35">
        <w:rPr>
          <w:lang w:eastAsia="da-DK"/>
        </w:rPr>
        <w:t xml:space="preserve"> II-doktrinen).</w:t>
      </w:r>
    </w:p>
    <w:p w14:paraId="0466A19F" w14:textId="77777777" w:rsidR="00EF0DE2" w:rsidRPr="00DC4F35" w:rsidRDefault="00EF0DE2" w:rsidP="00EF0DE2">
      <w:pPr>
        <w:rPr>
          <w:lang w:eastAsia="da-DK"/>
        </w:rPr>
      </w:pPr>
    </w:p>
    <w:p w14:paraId="70530941" w14:textId="77777777" w:rsidR="00EF0DE2" w:rsidRPr="00DC4F35" w:rsidRDefault="00EF0DE2" w:rsidP="00EF0DE2">
      <w:pPr>
        <w:rPr>
          <w:lang w:eastAsia="da-DK"/>
        </w:rPr>
      </w:pPr>
      <w:r w:rsidRPr="00DC4F35">
        <w:rPr>
          <w:lang w:eastAsia="da-DK"/>
        </w:rPr>
        <w:t xml:space="preserve">Derefter foretager Domstolen fra præmis 138 ff. en vurdering af standardkontraktbestemmelsernes vilkår for at vurdere, om de lever op til denne </w:t>
      </w:r>
      <w:proofErr w:type="spellStart"/>
      <w:r w:rsidRPr="00DC4F35">
        <w:rPr>
          <w:lang w:eastAsia="da-DK"/>
        </w:rPr>
        <w:t>Schrems</w:t>
      </w:r>
      <w:proofErr w:type="spellEnd"/>
      <w:r w:rsidRPr="00DC4F35">
        <w:rPr>
          <w:lang w:eastAsia="da-DK"/>
        </w:rPr>
        <w:t xml:space="preserve"> II-doktrin, jf. præmis 138 ff. Domstolen konkluderer i præmis 148-149, at afgørelsen om standardkontraktbestemmelser fastsætter effektive mekanismer, der i praksis gør det muligt at sikre, at overførsel til et tredjeland af personoplysninger på grundlag af standardbestemmelserne om databeskyttelse i bilaget til denne afgørelse suspenderes eller forbydes, når modtageren af overførslen ikke overholder eller ikke er i stand til at overholde disse bestemmelser. Afgørelsen om standardkontraktbestemmelserne er følgelig ikke ugyldig. </w:t>
      </w:r>
    </w:p>
    <w:p w14:paraId="5C955F85" w14:textId="77777777" w:rsidR="00595DB2" w:rsidRPr="00DC4F35" w:rsidRDefault="00595DB2" w:rsidP="00595DB2">
      <w:pPr>
        <w:rPr>
          <w:lang w:eastAsia="da-DK"/>
        </w:rPr>
      </w:pPr>
    </w:p>
    <w:p w14:paraId="6B7676D2" w14:textId="48A82168" w:rsidR="007471CE" w:rsidRPr="00DC4F35" w:rsidRDefault="00DC70B1" w:rsidP="00595DB2">
      <w:pPr>
        <w:rPr>
          <w:lang w:eastAsia="da-DK"/>
        </w:rPr>
      </w:pPr>
      <w:r w:rsidRPr="00DC4F35">
        <w:rPr>
          <w:lang w:eastAsia="da-DK"/>
        </w:rPr>
        <w:t xml:space="preserve">Det er vigtigt at bemærke, at </w:t>
      </w:r>
      <w:r w:rsidR="000B43E9" w:rsidRPr="00DC4F35">
        <w:rPr>
          <w:lang w:eastAsia="da-DK"/>
        </w:rPr>
        <w:t xml:space="preserve">EU-domstolen ikke udtrykkeligt udtaler, at </w:t>
      </w:r>
      <w:r w:rsidR="00C10D09" w:rsidRPr="00DC4F35">
        <w:rPr>
          <w:lang w:eastAsia="da-DK"/>
        </w:rPr>
        <w:t>der ingen risiko må være</w:t>
      </w:r>
      <w:r w:rsidR="00E1102F" w:rsidRPr="00DC4F35">
        <w:rPr>
          <w:lang w:eastAsia="da-DK"/>
        </w:rPr>
        <w:t xml:space="preserve"> for de overførte personoplysningers udlevering til tredjelandes myndigheder</w:t>
      </w:r>
      <w:r w:rsidR="007471CE" w:rsidRPr="00DC4F35">
        <w:rPr>
          <w:lang w:eastAsia="da-DK"/>
        </w:rPr>
        <w:t xml:space="preserve">; det afgørende er således at sikre, at der etableres effektive mekanismer, som </w:t>
      </w:r>
      <w:r w:rsidR="007471CE" w:rsidRPr="00DC4F35">
        <w:rPr>
          <w:i/>
          <w:iCs/>
          <w:lang w:eastAsia="da-DK"/>
        </w:rPr>
        <w:t>i praksis</w:t>
      </w:r>
      <w:r w:rsidR="007471CE" w:rsidRPr="00DC4F35">
        <w:rPr>
          <w:lang w:eastAsia="da-DK"/>
        </w:rPr>
        <w:t xml:space="preserve"> gør det muligt at sikre, at det i EU-retten krævede beskyttelsesniveau overholdes. Således kan der med den anerkendte </w:t>
      </w:r>
      <w:r w:rsidR="00CE681E" w:rsidRPr="00DC4F35">
        <w:rPr>
          <w:lang w:eastAsia="da-DK"/>
        </w:rPr>
        <w:t xml:space="preserve">professor Christopher </w:t>
      </w:r>
      <w:proofErr w:type="spellStart"/>
      <w:r w:rsidR="00CE681E" w:rsidRPr="00DC4F35">
        <w:rPr>
          <w:lang w:eastAsia="da-DK"/>
        </w:rPr>
        <w:t>Kuner</w:t>
      </w:r>
      <w:proofErr w:type="spellEnd"/>
      <w:r w:rsidR="00CE681E" w:rsidRPr="00DC4F35">
        <w:rPr>
          <w:lang w:eastAsia="da-DK"/>
        </w:rPr>
        <w:t xml:space="preserve"> </w:t>
      </w:r>
      <w:r w:rsidR="00C81EE8" w:rsidRPr="00DC4F35">
        <w:rPr>
          <w:lang w:eastAsia="da-DK"/>
        </w:rPr>
        <w:t>anføres følgende</w:t>
      </w:r>
      <w:r w:rsidR="007379D0" w:rsidRPr="00DC4F35">
        <w:rPr>
          <w:lang w:eastAsia="da-DK"/>
        </w:rPr>
        <w:t xml:space="preserve"> vedrørende </w:t>
      </w:r>
      <w:proofErr w:type="spellStart"/>
      <w:r w:rsidR="007379D0" w:rsidRPr="00DC4F35">
        <w:rPr>
          <w:lang w:eastAsia="da-DK"/>
        </w:rPr>
        <w:t>Schrems</w:t>
      </w:r>
      <w:proofErr w:type="spellEnd"/>
      <w:r w:rsidR="007379D0" w:rsidRPr="00DC4F35">
        <w:rPr>
          <w:lang w:eastAsia="da-DK"/>
        </w:rPr>
        <w:t xml:space="preserve"> II-dommen</w:t>
      </w:r>
      <w:r w:rsidR="00E754AA" w:rsidRPr="00DC4F35">
        <w:rPr>
          <w:rStyle w:val="Fodnotehenvisning"/>
          <w:lang w:eastAsia="da-DK"/>
        </w:rPr>
        <w:footnoteReference w:id="28"/>
      </w:r>
      <w:r w:rsidR="00C81EE8" w:rsidRPr="00DC4F35">
        <w:rPr>
          <w:lang w:eastAsia="da-DK"/>
        </w:rPr>
        <w:t xml:space="preserve">: </w:t>
      </w:r>
    </w:p>
    <w:p w14:paraId="3A93049B" w14:textId="77777777" w:rsidR="00C81EE8" w:rsidRPr="00DC4F35" w:rsidRDefault="00C81EE8" w:rsidP="00595DB2">
      <w:pPr>
        <w:rPr>
          <w:lang w:eastAsia="da-DK"/>
        </w:rPr>
      </w:pPr>
    </w:p>
    <w:p w14:paraId="3EBEEE86" w14:textId="318A5C57" w:rsidR="00DC70B1" w:rsidRPr="001C19E7" w:rsidRDefault="00E754AA" w:rsidP="00686F16">
      <w:pPr>
        <w:ind w:left="1304"/>
        <w:rPr>
          <w:i/>
          <w:iCs/>
          <w:lang w:val="en-US" w:eastAsia="da-DK"/>
        </w:rPr>
      </w:pPr>
      <w:proofErr w:type="gramStart"/>
      <w:r w:rsidRPr="001C19E7">
        <w:rPr>
          <w:i/>
          <w:iCs/>
          <w:lang w:val="en-US" w:eastAsia="da-DK"/>
        </w:rPr>
        <w:t>”It</w:t>
      </w:r>
      <w:proofErr w:type="gramEnd"/>
      <w:r w:rsidRPr="001C19E7">
        <w:rPr>
          <w:i/>
          <w:iCs/>
          <w:lang w:val="en-US" w:eastAsia="da-DK"/>
        </w:rPr>
        <w:t xml:space="preserve"> is important to note that the Court does not require that additional safeguards provide a 100% guarantee that access to data by third parties can never occur, but rather that they constitute “effective mechanisms that make it possible, in practice, to ensure compliance with the level of protection required by EU law…” (para. 137). Thus, they should be evaluated under a standard of proportionality, not of perfection.” </w:t>
      </w:r>
    </w:p>
    <w:p w14:paraId="067DD01D" w14:textId="77777777" w:rsidR="00E754AA" w:rsidRPr="001C19E7" w:rsidRDefault="00E754AA" w:rsidP="00595DB2">
      <w:pPr>
        <w:rPr>
          <w:lang w:val="en-US" w:eastAsia="da-DK"/>
        </w:rPr>
      </w:pPr>
    </w:p>
    <w:p w14:paraId="036664BB" w14:textId="34827DB0" w:rsidR="00881023" w:rsidRPr="00DC4F35" w:rsidRDefault="009164AC" w:rsidP="00881023">
      <w:r w:rsidRPr="00DC4F35">
        <w:lastRenderedPageBreak/>
        <w:t>D</w:t>
      </w:r>
      <w:r w:rsidR="00881023" w:rsidRPr="00DC4F35">
        <w:t xml:space="preserve">en tidligere generaladvokat Henrik </w:t>
      </w:r>
      <w:proofErr w:type="spellStart"/>
      <w:r w:rsidR="00881023" w:rsidRPr="00DC4F35">
        <w:t>Saugmandsgaard</w:t>
      </w:r>
      <w:proofErr w:type="spellEnd"/>
      <w:r w:rsidR="00881023" w:rsidRPr="00DC4F35">
        <w:t xml:space="preserve"> Øe afgav den 19. december 2019 udtalelse i ”</w:t>
      </w:r>
      <w:proofErr w:type="spellStart"/>
      <w:r w:rsidR="00881023" w:rsidRPr="00DC4F35">
        <w:t>Schrems</w:t>
      </w:r>
      <w:proofErr w:type="spellEnd"/>
      <w:r w:rsidR="00881023" w:rsidRPr="00DC4F35">
        <w:t xml:space="preserve"> II”-sagen. Han synes ligeledes i sin udtalelse at lægge op til en risikobaseret tilgang. </w:t>
      </w:r>
      <w:r w:rsidR="00062123" w:rsidRPr="00DC4F35">
        <w:t>Følger fremgår</w:t>
      </w:r>
      <w:r w:rsidR="00881023" w:rsidRPr="00DC4F35">
        <w:t xml:space="preserve"> således af forslagets betragtning nr. 135</w:t>
      </w:r>
      <w:r w:rsidR="00512155" w:rsidRPr="00DC4F35">
        <w:t>:</w:t>
      </w:r>
    </w:p>
    <w:p w14:paraId="0A330685" w14:textId="77777777" w:rsidR="00881023" w:rsidRPr="00DC4F35" w:rsidRDefault="00881023" w:rsidP="00881023">
      <w:pPr>
        <w:rPr>
          <w:highlight w:val="yellow"/>
        </w:rPr>
      </w:pPr>
    </w:p>
    <w:p w14:paraId="2AE00430" w14:textId="2888097F" w:rsidR="008039C7" w:rsidRPr="00DC4F35" w:rsidRDefault="008039C7" w:rsidP="00686F16">
      <w:pPr>
        <w:ind w:left="1304"/>
        <w:rPr>
          <w:i/>
          <w:iCs/>
        </w:rPr>
      </w:pPr>
      <w:r w:rsidRPr="00DC4F35">
        <w:rPr>
          <w:i/>
          <w:iCs/>
        </w:rPr>
        <w:t xml:space="preserve">“En sådan undersøgelse indebærer efter min opfattelse, at der skal tages hensyn til alle de omstændigheder, der kendetegner hver enkelt overførsel, hvilket bl.a. kan omfatte oplysningernes art og deres eventuelle følsomme karakter, de mekanismer, som eksportøren og/eller importøren anvender for at garantere sikkerheden </w:t>
      </w:r>
      <w:r w:rsidR="00FA542C" w:rsidRPr="00DC4F35">
        <w:rPr>
          <w:i/>
          <w:iCs/>
        </w:rPr>
        <w:t>[note udeladt]</w:t>
      </w:r>
      <w:r w:rsidRPr="00DC4F35">
        <w:rPr>
          <w:i/>
          <w:iCs/>
        </w:rPr>
        <w:t>, arten af og formålet med de behandlinger, som de offentlige myndigheder i tredjelandet gør oplysningerne til genstand for, fremgangsmåden for disse behandlinger og de begrænsninger og garantier, som dette tredjeland giver. De elementer, der kendetegner de offentlige myndigheders behandlingsaktiviteter og de garantier, der finder anvendelse i retsordenen i det nævnte tredjeland, er efter min opfattelse indeholdt i de elementer, der er nævnt i databeskyttelsesforordningens artikel 45, stk. 2.”</w:t>
      </w:r>
    </w:p>
    <w:p w14:paraId="7C9409CA" w14:textId="77777777" w:rsidR="008039C7" w:rsidRPr="00DC4F35" w:rsidRDefault="008039C7" w:rsidP="00881023">
      <w:pPr>
        <w:rPr>
          <w:rFonts w:ascii="Arial" w:hAnsi="Arial" w:cs="Arial"/>
          <w:color w:val="000000"/>
          <w:spacing w:val="4"/>
          <w:highlight w:val="yellow"/>
        </w:rPr>
      </w:pPr>
    </w:p>
    <w:p w14:paraId="35C4B3FF" w14:textId="23EDDC22" w:rsidR="00881023" w:rsidRPr="00DC4F35" w:rsidRDefault="00881023" w:rsidP="00881023">
      <w:pPr>
        <w:rPr>
          <w:lang w:eastAsia="da-DK"/>
        </w:rPr>
      </w:pPr>
      <w:r w:rsidRPr="00DC4F35">
        <w:rPr>
          <w:lang w:eastAsia="da-DK"/>
        </w:rPr>
        <w:t>Det er</w:t>
      </w:r>
      <w:r w:rsidR="007F0E15" w:rsidRPr="00DC4F35">
        <w:rPr>
          <w:lang w:eastAsia="da-DK"/>
        </w:rPr>
        <w:t xml:space="preserve"> henvisningen til, at der skal tages hensyn til omstændighederne ved hver enkelt overførsel, herunder</w:t>
      </w:r>
      <w:r w:rsidRPr="00DC4F35">
        <w:rPr>
          <w:lang w:eastAsia="da-DK"/>
        </w:rPr>
        <w:t xml:space="preserve"> navnlig henvisningen til personoplysningernes eventuelle følsomme karakter, som synes at </w:t>
      </w:r>
      <w:r w:rsidR="00011A7F" w:rsidRPr="00DC4F35">
        <w:rPr>
          <w:lang w:eastAsia="da-DK"/>
        </w:rPr>
        <w:t>understøtte</w:t>
      </w:r>
      <w:r w:rsidRPr="00DC4F35">
        <w:rPr>
          <w:lang w:eastAsia="da-DK"/>
        </w:rPr>
        <w:t xml:space="preserve"> en risikobaseret tilgang. </w:t>
      </w:r>
    </w:p>
    <w:p w14:paraId="2887CB7A" w14:textId="77777777" w:rsidR="00AC3CAE" w:rsidRPr="00DC4F35" w:rsidRDefault="00AC3CAE" w:rsidP="00881023">
      <w:pPr>
        <w:rPr>
          <w:lang w:eastAsia="da-DK"/>
        </w:rPr>
      </w:pPr>
    </w:p>
    <w:p w14:paraId="5EA2D8D9" w14:textId="0C7134FB" w:rsidR="00AC3CAE" w:rsidRPr="00DC4F35" w:rsidRDefault="00AC3CAE" w:rsidP="00AC3CAE">
      <w:pPr>
        <w:pStyle w:val="Overskrift3"/>
        <w:rPr>
          <w:lang w:eastAsia="da-DK"/>
        </w:rPr>
      </w:pPr>
      <w:bookmarkStart w:id="78" w:name="_Toc170824043"/>
      <w:r w:rsidRPr="00DC4F35">
        <w:rPr>
          <w:lang w:eastAsia="da-DK"/>
        </w:rPr>
        <w:t xml:space="preserve">EU-Kommissionens afgørelse om nye </w:t>
      </w:r>
      <w:r w:rsidR="004946D2" w:rsidRPr="00DC4F35">
        <w:rPr>
          <w:lang w:eastAsia="da-DK"/>
        </w:rPr>
        <w:t>standardkontraktbestemmelser for overførsel af personoplysninger til tredjelande</w:t>
      </w:r>
      <w:bookmarkEnd w:id="78"/>
    </w:p>
    <w:p w14:paraId="58927C48" w14:textId="01D528EC" w:rsidR="00DC755A" w:rsidRPr="00C83C91" w:rsidRDefault="0035346B" w:rsidP="00DC755A">
      <w:pPr>
        <w:rPr>
          <w:lang w:val="en-US"/>
        </w:rPr>
      </w:pPr>
      <w:r w:rsidRPr="00DC4F35">
        <w:rPr>
          <w:lang w:eastAsia="da-DK"/>
        </w:rPr>
        <w:t>EU-</w:t>
      </w:r>
      <w:r w:rsidR="004946D2" w:rsidRPr="00DC4F35">
        <w:rPr>
          <w:lang w:eastAsia="da-DK"/>
        </w:rPr>
        <w:t>Kommissionen</w:t>
      </w:r>
      <w:r w:rsidRPr="00DC4F35">
        <w:rPr>
          <w:lang w:eastAsia="da-DK"/>
        </w:rPr>
        <w:t xml:space="preserve"> traf den 4. juni 2021 g</w:t>
      </w:r>
      <w:r w:rsidR="004946D2" w:rsidRPr="00DC4F35">
        <w:rPr>
          <w:lang w:eastAsia="da-DK"/>
        </w:rPr>
        <w:t xml:space="preserve">ennemførelsesafgørelse (EU) 2021/914 om standardkontraktbestemmelser for overførsel af personoplysninger til tredjelande i henhold til </w:t>
      </w:r>
      <w:r w:rsidRPr="00DC4F35">
        <w:rPr>
          <w:lang w:eastAsia="da-DK"/>
        </w:rPr>
        <w:t xml:space="preserve">databeskyttelsesforordningen. </w:t>
      </w:r>
      <w:r w:rsidRPr="00C83C91">
        <w:rPr>
          <w:lang w:val="en-US" w:eastAsia="da-DK"/>
        </w:rPr>
        <w:t xml:space="preserve">I de nye </w:t>
      </w:r>
      <w:proofErr w:type="spellStart"/>
      <w:r w:rsidRPr="00C83C91">
        <w:rPr>
          <w:lang w:val="en-US" w:eastAsia="da-DK"/>
        </w:rPr>
        <w:t>standardkontraktbestemmelser</w:t>
      </w:r>
      <w:proofErr w:type="spellEnd"/>
      <w:r w:rsidRPr="00C83C91">
        <w:rPr>
          <w:lang w:val="en-US" w:eastAsia="da-DK"/>
        </w:rPr>
        <w:t xml:space="preserve"> </w:t>
      </w:r>
      <w:proofErr w:type="spellStart"/>
      <w:r w:rsidRPr="00C83C91">
        <w:rPr>
          <w:lang w:val="en-US" w:eastAsia="da-DK"/>
        </w:rPr>
        <w:t>lyder</w:t>
      </w:r>
      <w:proofErr w:type="spellEnd"/>
      <w:r w:rsidRPr="00C83C91">
        <w:rPr>
          <w:lang w:val="en-US" w:eastAsia="da-DK"/>
        </w:rPr>
        <w:t xml:space="preserve"> </w:t>
      </w:r>
      <w:proofErr w:type="spellStart"/>
      <w:r w:rsidRPr="00C83C91">
        <w:rPr>
          <w:lang w:val="en-US" w:eastAsia="da-DK"/>
        </w:rPr>
        <w:t>bestemmelse</w:t>
      </w:r>
      <w:proofErr w:type="spellEnd"/>
      <w:r w:rsidRPr="00C83C91">
        <w:rPr>
          <w:lang w:val="en-US" w:eastAsia="da-DK"/>
        </w:rPr>
        <w:t xml:space="preserve"> 14 </w:t>
      </w:r>
      <w:proofErr w:type="spellStart"/>
      <w:r w:rsidRPr="00C83C91">
        <w:rPr>
          <w:lang w:val="en-US" w:eastAsia="da-DK"/>
        </w:rPr>
        <w:t>således</w:t>
      </w:r>
      <w:proofErr w:type="spellEnd"/>
      <w:r w:rsidRPr="00C83C91">
        <w:rPr>
          <w:lang w:val="en-US" w:eastAsia="da-DK"/>
        </w:rPr>
        <w:t xml:space="preserve">: </w:t>
      </w:r>
      <w:r w:rsidR="004946D2" w:rsidRPr="00C83C91">
        <w:rPr>
          <w:lang w:val="en-US" w:eastAsia="da-DK"/>
        </w:rPr>
        <w:cr/>
      </w:r>
    </w:p>
    <w:p w14:paraId="06B6A8BB" w14:textId="77777777" w:rsidR="00DC755A" w:rsidRPr="00C83C91" w:rsidRDefault="00DC755A" w:rsidP="00DC755A">
      <w:pPr>
        <w:jc w:val="center"/>
        <w:rPr>
          <w:i/>
          <w:iCs/>
          <w:lang w:val="en-US"/>
        </w:rPr>
      </w:pPr>
      <w:r w:rsidRPr="00C83C91">
        <w:rPr>
          <w:i/>
          <w:iCs/>
          <w:lang w:val="en-US"/>
        </w:rPr>
        <w:t>“Clause 14</w:t>
      </w:r>
    </w:p>
    <w:p w14:paraId="2873C7DB" w14:textId="77777777" w:rsidR="00DC755A" w:rsidRPr="00C83C91" w:rsidRDefault="00DC755A" w:rsidP="00DC755A">
      <w:pPr>
        <w:jc w:val="center"/>
        <w:rPr>
          <w:b/>
          <w:bCs/>
          <w:i/>
          <w:iCs/>
          <w:lang w:val="en-US"/>
        </w:rPr>
      </w:pPr>
      <w:r w:rsidRPr="00C83C91">
        <w:rPr>
          <w:b/>
          <w:bCs/>
          <w:i/>
          <w:iCs/>
          <w:lang w:val="en-US"/>
        </w:rPr>
        <w:t>Local laws and practices affecting compliance with the Clauses</w:t>
      </w:r>
    </w:p>
    <w:p w14:paraId="59D172AE" w14:textId="77777777" w:rsidR="00906E7D" w:rsidRPr="00C83C91" w:rsidRDefault="00906E7D" w:rsidP="00DC755A">
      <w:pPr>
        <w:rPr>
          <w:i/>
          <w:iCs/>
          <w:lang w:val="en-US"/>
        </w:rPr>
      </w:pPr>
    </w:p>
    <w:p w14:paraId="7CC6DFB1" w14:textId="0EFEA375" w:rsidR="00DC755A" w:rsidRPr="00C83C91" w:rsidRDefault="00DC755A" w:rsidP="00686F16">
      <w:pPr>
        <w:ind w:firstLine="1304"/>
        <w:rPr>
          <w:i/>
          <w:iCs/>
          <w:lang w:val="en-US"/>
        </w:rPr>
      </w:pPr>
      <w:r w:rsidRPr="00C83C91">
        <w:rPr>
          <w:i/>
          <w:iCs/>
          <w:lang w:val="en-US"/>
        </w:rPr>
        <w:t>[…]</w:t>
      </w:r>
    </w:p>
    <w:p w14:paraId="07E3BE55" w14:textId="77777777" w:rsidR="00906E7D" w:rsidRPr="00C83C91" w:rsidRDefault="00906E7D" w:rsidP="00DC755A">
      <w:pPr>
        <w:rPr>
          <w:i/>
          <w:iCs/>
          <w:highlight w:val="yellow"/>
          <w:lang w:val="en-US"/>
        </w:rPr>
      </w:pPr>
    </w:p>
    <w:p w14:paraId="74807FE9" w14:textId="7E5B193A" w:rsidR="00DC755A" w:rsidRPr="001C19E7" w:rsidRDefault="00DC755A" w:rsidP="00686F16">
      <w:pPr>
        <w:ind w:left="1304"/>
        <w:rPr>
          <w:i/>
          <w:iCs/>
          <w:lang w:val="en-US"/>
        </w:rPr>
      </w:pPr>
      <w:r w:rsidRPr="001C19E7">
        <w:rPr>
          <w:i/>
          <w:iCs/>
          <w:lang w:val="en-US"/>
        </w:rPr>
        <w:t xml:space="preserve">(a) </w:t>
      </w:r>
      <w:r w:rsidRPr="001C19E7">
        <w:rPr>
          <w:i/>
          <w:iCs/>
          <w:u w:val="single"/>
          <w:lang w:val="en-US"/>
        </w:rPr>
        <w:t xml:space="preserve">The Parties warrant that they have no reason to believe that the laws and practices in the third country of destination applicable to the processing of the personal data by the data importer, including any requirements to disclose personal data or measures </w:t>
      </w:r>
      <w:proofErr w:type="spellStart"/>
      <w:r w:rsidRPr="001C19E7">
        <w:rPr>
          <w:i/>
          <w:iCs/>
          <w:u w:val="single"/>
          <w:lang w:val="en-US"/>
        </w:rPr>
        <w:t>authorising</w:t>
      </w:r>
      <w:proofErr w:type="spellEnd"/>
      <w:r w:rsidRPr="001C19E7">
        <w:rPr>
          <w:i/>
          <w:iCs/>
          <w:u w:val="single"/>
          <w:lang w:val="en-US"/>
        </w:rPr>
        <w:t xml:space="preserve"> access by public authorities, prevent the data importer from fulfilling its obligations under these Clauses.</w:t>
      </w:r>
      <w:r w:rsidRPr="001C19E7">
        <w:rPr>
          <w:i/>
          <w:iCs/>
          <w:lang w:val="en-US"/>
        </w:rPr>
        <w:t xml:space="preserve"> This is based on the understanding that laws and practices that respect the essence of the fundamental rights and freedoms and do not exceed what is necessary and </w:t>
      </w:r>
      <w:r w:rsidRPr="001C19E7">
        <w:rPr>
          <w:i/>
          <w:iCs/>
          <w:lang w:val="en-US"/>
        </w:rPr>
        <w:lastRenderedPageBreak/>
        <w:t xml:space="preserve">proportionate in a democratic society to safeguard one of the objectives listed in Article 23(1) of Regulation (EU) 2016/679, are not in contradiction with these Clauses. </w:t>
      </w:r>
    </w:p>
    <w:p w14:paraId="753DE3B0" w14:textId="77777777" w:rsidR="00906E7D" w:rsidRPr="001C19E7" w:rsidRDefault="00906E7D" w:rsidP="00DC755A">
      <w:pPr>
        <w:rPr>
          <w:i/>
          <w:iCs/>
          <w:highlight w:val="yellow"/>
          <w:lang w:val="en-US"/>
        </w:rPr>
      </w:pPr>
    </w:p>
    <w:p w14:paraId="00B7FC2B" w14:textId="77777777" w:rsidR="00DC755A" w:rsidRPr="001C19E7" w:rsidRDefault="00DC755A" w:rsidP="00686F16">
      <w:pPr>
        <w:ind w:left="1304"/>
        <w:rPr>
          <w:i/>
          <w:iCs/>
          <w:lang w:val="en-US"/>
        </w:rPr>
      </w:pPr>
      <w:r w:rsidRPr="001C19E7">
        <w:rPr>
          <w:i/>
          <w:iCs/>
          <w:lang w:val="en-US"/>
        </w:rPr>
        <w:t xml:space="preserve">(b) The Parties declare that in providing the warranty in paragraph (a), they have taken due account in particular of the following elements: </w:t>
      </w:r>
    </w:p>
    <w:p w14:paraId="0B8BCFE2" w14:textId="77777777" w:rsidR="004946D2" w:rsidRPr="001C19E7" w:rsidRDefault="004946D2" w:rsidP="00DC755A">
      <w:pPr>
        <w:rPr>
          <w:i/>
          <w:iCs/>
          <w:highlight w:val="yellow"/>
          <w:lang w:val="en-US"/>
        </w:rPr>
      </w:pPr>
    </w:p>
    <w:p w14:paraId="2D51AE1A" w14:textId="77777777" w:rsidR="00DC755A" w:rsidRPr="001C19E7" w:rsidRDefault="00DC755A" w:rsidP="00686F16">
      <w:pPr>
        <w:ind w:left="2608"/>
        <w:rPr>
          <w:i/>
          <w:iCs/>
          <w:lang w:val="en-US"/>
        </w:rPr>
      </w:pPr>
      <w:r w:rsidRPr="001C19E7">
        <w:rPr>
          <w:i/>
          <w:iCs/>
          <w:lang w:val="en-US"/>
        </w:rPr>
        <w:t>(</w:t>
      </w:r>
      <w:proofErr w:type="spellStart"/>
      <w:r w:rsidRPr="001C19E7">
        <w:rPr>
          <w:i/>
          <w:iCs/>
          <w:lang w:val="en-US"/>
        </w:rPr>
        <w:t>i</w:t>
      </w:r>
      <w:proofErr w:type="spellEnd"/>
      <w:r w:rsidRPr="001C19E7">
        <w:rPr>
          <w:i/>
          <w:iCs/>
          <w:lang w:val="en-US"/>
        </w:rPr>
        <w:t xml:space="preserve">) the specific circumstances of the transfer, including the length of the processing chain, the number of actors involved and the transmission channels used; intended onward transfers; the type of recipient; the purpose of processing; the categories and format of the transferred personal data; the economic sector in which the transfer occurs; the storage location of the data transferred; </w:t>
      </w:r>
    </w:p>
    <w:p w14:paraId="3190E2EE" w14:textId="5BB7364F" w:rsidR="00DC755A" w:rsidRPr="001C19E7" w:rsidRDefault="00DC755A" w:rsidP="00906E7D">
      <w:pPr>
        <w:ind w:left="2608"/>
        <w:rPr>
          <w:i/>
          <w:iCs/>
          <w:lang w:val="en-US"/>
        </w:rPr>
      </w:pPr>
      <w:r w:rsidRPr="001C19E7">
        <w:rPr>
          <w:i/>
          <w:iCs/>
          <w:lang w:val="en-US"/>
        </w:rPr>
        <w:t xml:space="preserve">(ii) </w:t>
      </w:r>
      <w:r w:rsidRPr="001C19E7">
        <w:rPr>
          <w:i/>
          <w:iCs/>
          <w:u w:val="single"/>
          <w:lang w:val="en-US"/>
        </w:rPr>
        <w:t>the laws and practices of the third country of destination</w:t>
      </w:r>
      <w:r w:rsidR="00906E7D" w:rsidRPr="001C19E7">
        <w:rPr>
          <w:i/>
          <w:iCs/>
          <w:u w:val="single"/>
          <w:lang w:val="en-US"/>
        </w:rPr>
        <w:t xml:space="preserve"> </w:t>
      </w:r>
      <w:r w:rsidRPr="001C19E7">
        <w:rPr>
          <w:i/>
          <w:iCs/>
          <w:u w:val="single"/>
          <w:lang w:val="en-US"/>
        </w:rPr>
        <w:t xml:space="preserve">– including those requiring the disclosure of data to public authorities or </w:t>
      </w:r>
      <w:proofErr w:type="spellStart"/>
      <w:r w:rsidRPr="001C19E7">
        <w:rPr>
          <w:i/>
          <w:iCs/>
          <w:u w:val="single"/>
          <w:lang w:val="en-US"/>
        </w:rPr>
        <w:t>authorising</w:t>
      </w:r>
      <w:proofErr w:type="spellEnd"/>
      <w:r w:rsidRPr="001C19E7">
        <w:rPr>
          <w:i/>
          <w:iCs/>
          <w:u w:val="single"/>
          <w:lang w:val="en-US"/>
        </w:rPr>
        <w:t xml:space="preserve"> access by such authorities – relevant in light of the specific circumstances of the transfer, and the applicable limitations and safeguards </w:t>
      </w:r>
      <w:r w:rsidRPr="001C19E7">
        <w:rPr>
          <w:i/>
          <w:iCs/>
          <w:u w:val="single"/>
          <w:vertAlign w:val="superscript"/>
          <w:lang w:val="en-US"/>
        </w:rPr>
        <w:t>(</w:t>
      </w:r>
      <w:r w:rsidRPr="001C19E7">
        <w:rPr>
          <w:i/>
          <w:iCs/>
          <w:vertAlign w:val="superscript"/>
          <w:lang w:val="en-US"/>
        </w:rPr>
        <w:t>12)</w:t>
      </w:r>
      <w:r w:rsidRPr="001C19E7">
        <w:rPr>
          <w:i/>
          <w:iCs/>
          <w:lang w:val="en-US"/>
        </w:rPr>
        <w:t xml:space="preserve">; </w:t>
      </w:r>
    </w:p>
    <w:p w14:paraId="771F9C08" w14:textId="77777777" w:rsidR="00906E7D" w:rsidRPr="001C19E7" w:rsidRDefault="00906E7D" w:rsidP="00686F16">
      <w:pPr>
        <w:ind w:left="2608"/>
        <w:rPr>
          <w:i/>
          <w:iCs/>
          <w:lang w:val="en-US"/>
        </w:rPr>
      </w:pPr>
    </w:p>
    <w:p w14:paraId="1E5E8E61" w14:textId="0885FCC5" w:rsidR="00DC755A" w:rsidRPr="00C83C91" w:rsidRDefault="00DC755A" w:rsidP="00686F16">
      <w:pPr>
        <w:ind w:left="2608"/>
        <w:rPr>
          <w:lang w:val="en-US"/>
        </w:rPr>
      </w:pPr>
      <w:r w:rsidRPr="001C19E7">
        <w:rPr>
          <w:i/>
          <w:iCs/>
          <w:lang w:val="en-US"/>
        </w:rPr>
        <w:t xml:space="preserve">(iii) any relevant contractual, technical or </w:t>
      </w:r>
      <w:proofErr w:type="spellStart"/>
      <w:r w:rsidRPr="001C19E7">
        <w:rPr>
          <w:i/>
          <w:iCs/>
          <w:lang w:val="en-US"/>
        </w:rPr>
        <w:t>organisational</w:t>
      </w:r>
      <w:proofErr w:type="spellEnd"/>
      <w:r w:rsidRPr="001C19E7">
        <w:rPr>
          <w:i/>
          <w:iCs/>
          <w:lang w:val="en-US"/>
        </w:rPr>
        <w:t xml:space="preserve"> safeguards put in place to supplement the safeguards under these Clauses, including measures applied during transmission and to the processing of the personal data in the country of destination.</w:t>
      </w:r>
      <w:r w:rsidR="00906E7D" w:rsidRPr="001C19E7">
        <w:rPr>
          <w:i/>
          <w:iCs/>
          <w:lang w:val="en-US"/>
        </w:rPr>
        <w:t>”</w:t>
      </w:r>
      <w:r w:rsidR="00745C22" w:rsidRPr="001C19E7">
        <w:rPr>
          <w:i/>
          <w:iCs/>
          <w:lang w:val="en-US"/>
        </w:rPr>
        <w:t xml:space="preserve"> </w:t>
      </w:r>
      <w:r w:rsidR="00745C22" w:rsidRPr="00C83C91">
        <w:rPr>
          <w:lang w:val="en-US"/>
        </w:rPr>
        <w:t xml:space="preserve">(Vores </w:t>
      </w:r>
      <w:proofErr w:type="spellStart"/>
      <w:r w:rsidR="00745C22" w:rsidRPr="00C83C91">
        <w:rPr>
          <w:lang w:val="en-US"/>
        </w:rPr>
        <w:t>understregninger</w:t>
      </w:r>
      <w:proofErr w:type="spellEnd"/>
      <w:r w:rsidR="00745C22" w:rsidRPr="00C83C91">
        <w:rPr>
          <w:lang w:val="en-US"/>
        </w:rPr>
        <w:t>).</w:t>
      </w:r>
    </w:p>
    <w:p w14:paraId="2C88ED21" w14:textId="0D616F6C" w:rsidR="00DC755A" w:rsidRPr="00C83C91" w:rsidRDefault="00DC755A" w:rsidP="00906E7D">
      <w:pPr>
        <w:rPr>
          <w:i/>
          <w:iCs/>
          <w:highlight w:val="yellow"/>
          <w:lang w:val="en-US"/>
        </w:rPr>
      </w:pPr>
    </w:p>
    <w:p w14:paraId="3711BF4A" w14:textId="7E005041" w:rsidR="00906E7D" w:rsidRPr="00C83C91" w:rsidRDefault="00906E7D" w:rsidP="00906E7D">
      <w:pPr>
        <w:rPr>
          <w:lang w:val="en-US"/>
        </w:rPr>
      </w:pPr>
      <w:r w:rsidRPr="00C83C91">
        <w:rPr>
          <w:lang w:val="en-US"/>
        </w:rPr>
        <w:t xml:space="preserve">I note 12 </w:t>
      </w:r>
      <w:proofErr w:type="spellStart"/>
      <w:r w:rsidRPr="00C83C91">
        <w:rPr>
          <w:lang w:val="en-US"/>
        </w:rPr>
        <w:t>anføres</w:t>
      </w:r>
      <w:proofErr w:type="spellEnd"/>
      <w:r w:rsidRPr="00C83C91">
        <w:rPr>
          <w:lang w:val="en-US"/>
        </w:rPr>
        <w:t xml:space="preserve"> </w:t>
      </w:r>
      <w:proofErr w:type="spellStart"/>
      <w:r w:rsidRPr="00C83C91">
        <w:rPr>
          <w:lang w:val="en-US"/>
        </w:rPr>
        <w:t>følgende</w:t>
      </w:r>
      <w:proofErr w:type="spellEnd"/>
      <w:r w:rsidRPr="00C83C91">
        <w:rPr>
          <w:lang w:val="en-US"/>
        </w:rPr>
        <w:t>:</w:t>
      </w:r>
    </w:p>
    <w:p w14:paraId="7DB1847D" w14:textId="77777777" w:rsidR="00906E7D" w:rsidRPr="00C83C91" w:rsidRDefault="00906E7D" w:rsidP="00DC755A">
      <w:pPr>
        <w:rPr>
          <w:i/>
          <w:iCs/>
          <w:lang w:val="en-US"/>
        </w:rPr>
      </w:pPr>
    </w:p>
    <w:p w14:paraId="1BFDCA91" w14:textId="50A00773" w:rsidR="00DC755A" w:rsidRPr="00DC4F35" w:rsidRDefault="00906E7D" w:rsidP="00686F16">
      <w:pPr>
        <w:ind w:left="1304"/>
      </w:pPr>
      <w:r w:rsidRPr="001C19E7">
        <w:rPr>
          <w:i/>
          <w:iCs/>
          <w:lang w:val="en-US"/>
        </w:rPr>
        <w:t>“</w:t>
      </w:r>
      <w:r w:rsidR="00DC755A" w:rsidRPr="001C19E7">
        <w:rPr>
          <w:i/>
          <w:iCs/>
          <w:lang w:val="en-US"/>
        </w:rPr>
        <w:t xml:space="preserve">(12) </w:t>
      </w:r>
      <w:r w:rsidR="00DC755A" w:rsidRPr="001C19E7">
        <w:rPr>
          <w:i/>
          <w:iCs/>
          <w:u w:val="single"/>
          <w:lang w:val="en-US"/>
        </w:rPr>
        <w:t>As regards the impact of such laws and practices on compliance with these Clauses, different elements may be considered as part of an overall assessment</w:t>
      </w:r>
      <w:r w:rsidR="00DC755A" w:rsidRPr="001C19E7">
        <w:rPr>
          <w:i/>
          <w:iCs/>
          <w:lang w:val="en-US"/>
        </w:rPr>
        <w:t xml:space="preserve">. Such elements </w:t>
      </w:r>
      <w:r w:rsidR="00DC755A" w:rsidRPr="001C19E7">
        <w:rPr>
          <w:i/>
          <w:iCs/>
          <w:u w:val="single"/>
          <w:lang w:val="en-US"/>
        </w:rPr>
        <w:t>may include relevant and documented practical experience with prior instances of requests for disclosure from public authorities, or the absence of such requests, covering a sufficiently representative time-frame</w:t>
      </w:r>
      <w:r w:rsidR="00DC755A" w:rsidRPr="001C19E7">
        <w:rPr>
          <w:i/>
          <w:iCs/>
          <w:lang w:val="en-US"/>
        </w:rPr>
        <w:t xml:space="preserve">. This refers in particular to internal records or other documentation, drawn up on a continuous basis in accordance with due diligence and certified at senior management level, provided that this information can be lawfully shared with third parties. Where this practical experience is relied upon to conclude that the data importer will not be prevented from complying with these Clauses, it needs to be supported by other relevant, objective elements, and it is for the Parties to consider carefully whether these elements together carry sufficient weight, in terms of their reliability and representativeness, to support this conclusion. In particular, the Parties have to take into account whether their practical experience is corroborated and not contradicted by publicly available or otherwise accessible, reliable information on the existence or absence of requests within the same sector and/or </w:t>
      </w:r>
      <w:r w:rsidR="00DC755A" w:rsidRPr="001C19E7">
        <w:rPr>
          <w:i/>
          <w:iCs/>
          <w:lang w:val="en-US"/>
        </w:rPr>
        <w:lastRenderedPageBreak/>
        <w:t>the application of the law in practice, such as case law and reports by independent oversight bodies.</w:t>
      </w:r>
      <w:r w:rsidRPr="001C19E7">
        <w:rPr>
          <w:i/>
          <w:iCs/>
          <w:lang w:val="en-US"/>
        </w:rPr>
        <w:t>”</w:t>
      </w:r>
      <w:r w:rsidR="00745C22" w:rsidRPr="001C19E7">
        <w:rPr>
          <w:i/>
          <w:iCs/>
          <w:lang w:val="en-US"/>
        </w:rPr>
        <w:t xml:space="preserve"> </w:t>
      </w:r>
      <w:r w:rsidR="00745C22" w:rsidRPr="00DC4F35">
        <w:t>(Vores understregninger.)</w:t>
      </w:r>
    </w:p>
    <w:p w14:paraId="7250E803" w14:textId="77777777" w:rsidR="00DC755A" w:rsidRPr="00DC4F35" w:rsidRDefault="00DC755A" w:rsidP="00DC755A">
      <w:pPr>
        <w:rPr>
          <w:highlight w:val="yellow"/>
        </w:rPr>
      </w:pPr>
    </w:p>
    <w:p w14:paraId="24E1C0A7" w14:textId="54DCC898" w:rsidR="00DC755A" w:rsidRPr="00DC4F35" w:rsidRDefault="00DC755A" w:rsidP="00DC755A">
      <w:r w:rsidRPr="00DC4F35">
        <w:t xml:space="preserve">Man erklærer således at have taget </w:t>
      </w:r>
      <w:r w:rsidRPr="00DC4F35">
        <w:rPr>
          <w:i/>
          <w:iCs/>
        </w:rPr>
        <w:t>både</w:t>
      </w:r>
      <w:r w:rsidRPr="00DC4F35">
        <w:t xml:space="preserve"> lovgivningen </w:t>
      </w:r>
      <w:r w:rsidRPr="00DC4F35">
        <w:rPr>
          <w:i/>
          <w:iCs/>
        </w:rPr>
        <w:t>og</w:t>
      </w:r>
      <w:r w:rsidRPr="00DC4F35">
        <w:t xml:space="preserve"> praksis for det pågældende tredjeland i betragtning og at man herefter ”</w:t>
      </w:r>
      <w:r w:rsidRPr="00DC4F35">
        <w:rPr>
          <w:i/>
          <w:iCs/>
        </w:rPr>
        <w:t xml:space="preserve">have no </w:t>
      </w:r>
      <w:proofErr w:type="spellStart"/>
      <w:r w:rsidRPr="00DC4F35">
        <w:rPr>
          <w:i/>
          <w:iCs/>
        </w:rPr>
        <w:t>reason</w:t>
      </w:r>
      <w:proofErr w:type="spellEnd"/>
      <w:r w:rsidRPr="00DC4F35">
        <w:rPr>
          <w:i/>
          <w:iCs/>
        </w:rPr>
        <w:t xml:space="preserve"> to </w:t>
      </w:r>
      <w:proofErr w:type="spellStart"/>
      <w:r w:rsidRPr="00DC4F35">
        <w:rPr>
          <w:i/>
          <w:iCs/>
        </w:rPr>
        <w:t>believe</w:t>
      </w:r>
      <w:proofErr w:type="spellEnd"/>
      <w:r w:rsidRPr="00DC4F35">
        <w:rPr>
          <w:i/>
          <w:iCs/>
        </w:rPr>
        <w:t>”</w:t>
      </w:r>
      <w:r w:rsidR="00906453" w:rsidRPr="00DC4F35">
        <w:rPr>
          <w:i/>
          <w:iCs/>
        </w:rPr>
        <w:t>,</w:t>
      </w:r>
      <w:r w:rsidRPr="00DC4F35">
        <w:rPr>
          <w:i/>
          <w:iCs/>
        </w:rPr>
        <w:t xml:space="preserve"> </w:t>
      </w:r>
      <w:r w:rsidRPr="00DC4F35">
        <w:t>at modtageren af personoplysninger skulle være forhindret i at efterleve standardkontraktbestemmelserne. Samtidig er det i note 12 uddybet, at man kan lægge vægt på dokumenteret praksis, herunder tidligere udleveringsanmodninger fra det pågældende tredjeland, og lade det indgå som et moment i vurderingen</w:t>
      </w:r>
      <w:r w:rsidR="00906453" w:rsidRPr="00DC4F35">
        <w:t>,</w:t>
      </w:r>
      <w:r w:rsidRPr="00DC4F35">
        <w:t xml:space="preserve"> af hvorvidt sikkerheden i tredjelandet i det væsentlige svarer til niveauet i EU-retten. </w:t>
      </w:r>
    </w:p>
    <w:p w14:paraId="03A884CA" w14:textId="77777777" w:rsidR="00DC755A" w:rsidRPr="00DC4F35" w:rsidRDefault="00DC755A" w:rsidP="00DC755A"/>
    <w:p w14:paraId="72FADCBF" w14:textId="22D80DB5" w:rsidR="00DC755A" w:rsidRPr="00DC4F35" w:rsidRDefault="00DC755A" w:rsidP="00DC755A">
      <w:r w:rsidRPr="00DC4F35">
        <w:t xml:space="preserve">Det er </w:t>
      </w:r>
      <w:r w:rsidR="008B186C" w:rsidRPr="00DC4F35">
        <w:t xml:space="preserve">Statens </w:t>
      </w:r>
      <w:proofErr w:type="spellStart"/>
      <w:r w:rsidR="008B186C" w:rsidRPr="00DC4F35">
        <w:t>It’s</w:t>
      </w:r>
      <w:proofErr w:type="spellEnd"/>
      <w:r w:rsidRPr="00DC4F35">
        <w:t xml:space="preserve"> og Ø</w:t>
      </w:r>
      <w:r w:rsidR="008B186C" w:rsidRPr="00DC4F35">
        <w:t>konomistyrelsens</w:t>
      </w:r>
      <w:r w:rsidRPr="00DC4F35">
        <w:t xml:space="preserve"> opfattelse</w:t>
      </w:r>
      <w:r w:rsidR="008B186C" w:rsidRPr="00DC4F35">
        <w:t>,</w:t>
      </w:r>
      <w:r w:rsidRPr="00DC4F35">
        <w:t xml:space="preserve"> at EU-Kommissionen</w:t>
      </w:r>
      <w:r w:rsidR="00B70FFA" w:rsidRPr="00DC4F35">
        <w:t>s</w:t>
      </w:r>
      <w:r w:rsidRPr="00DC4F35">
        <w:t xml:space="preserve"> standardkontraktbestemmelser </w:t>
      </w:r>
      <w:r w:rsidR="00B70FFA" w:rsidRPr="00DC4F35">
        <w:t xml:space="preserve">for overførsler til tredjelande </w:t>
      </w:r>
      <w:r w:rsidR="00D7326A" w:rsidRPr="00DC4F35">
        <w:t xml:space="preserve">således indebærer en </w:t>
      </w:r>
      <w:r w:rsidRPr="00DC4F35">
        <w:t xml:space="preserve">risikobaseret tilgang, når praksis på den beskrevne måde kan inddrages i vurderingen af risikoen for de registrerede. At dokumenteret praksis klart indikerer, at tredjelandets myndighed enten ikke anmoder om personoplysninger, ikke tiltvinger sig adgang hertil eller får efterkommet eventuelle udleveringsanmodninger udelukker ikke </w:t>
      </w:r>
      <w:r w:rsidR="00014590" w:rsidRPr="00DC4F35">
        <w:t>risikoen</w:t>
      </w:r>
      <w:r w:rsidRPr="00DC4F35">
        <w:t xml:space="preserve"> for</w:t>
      </w:r>
      <w:r w:rsidR="00014590" w:rsidRPr="00DC4F35">
        <w:t>,</w:t>
      </w:r>
      <w:r w:rsidRPr="00DC4F35">
        <w:t xml:space="preserve"> at det på trods af praksis faktisk </w:t>
      </w:r>
      <w:r w:rsidR="00014590" w:rsidRPr="00DC4F35">
        <w:t xml:space="preserve">kan </w:t>
      </w:r>
      <w:r w:rsidRPr="00DC4F35">
        <w:t xml:space="preserve">ske alligevel. Når det på denne måde er muligt at vurdere sandsynligheden </w:t>
      </w:r>
      <w:r w:rsidR="00D7326A" w:rsidRPr="00DC4F35">
        <w:t xml:space="preserve">for indgreb i personoplysningerne </w:t>
      </w:r>
      <w:r w:rsidRPr="00DC4F35">
        <w:t>og inddrage det</w:t>
      </w:r>
      <w:r w:rsidR="00D7326A" w:rsidRPr="00DC4F35">
        <w:t xml:space="preserve">te i vurderingen af, hvorvidt beskyttelsen i </w:t>
      </w:r>
      <w:r w:rsidRPr="00DC4F35">
        <w:t>tredjelandet i det væsentlige svarer til niveauet i EU-retten, er det særligt klart, at de</w:t>
      </w:r>
      <w:r w:rsidR="00D7326A" w:rsidRPr="00DC4F35">
        <w:t>r er tale om en</w:t>
      </w:r>
      <w:r w:rsidRPr="00DC4F35">
        <w:t xml:space="preserve"> risikobaseret tilgang. </w:t>
      </w:r>
    </w:p>
    <w:p w14:paraId="4CDCB669" w14:textId="77777777" w:rsidR="004836E2" w:rsidRPr="00DC4F35" w:rsidRDefault="004836E2" w:rsidP="00A71A56">
      <w:pPr>
        <w:rPr>
          <w:lang w:eastAsia="da-DK"/>
        </w:rPr>
      </w:pPr>
    </w:p>
    <w:p w14:paraId="0110FAB0" w14:textId="0B4AA2FD" w:rsidR="00881023" w:rsidRPr="00DC4F35" w:rsidRDefault="00881023" w:rsidP="00881023">
      <w:pPr>
        <w:pStyle w:val="Overskrift3"/>
        <w:rPr>
          <w:lang w:eastAsia="da-DK"/>
        </w:rPr>
      </w:pPr>
      <w:bookmarkStart w:id="79" w:name="_Toc170824044"/>
      <w:proofErr w:type="spellStart"/>
      <w:r w:rsidRPr="00DC4F35">
        <w:rPr>
          <w:lang w:eastAsia="da-DK"/>
        </w:rPr>
        <w:t>EDPB’s</w:t>
      </w:r>
      <w:proofErr w:type="spellEnd"/>
      <w:r w:rsidRPr="00DC4F35">
        <w:rPr>
          <w:lang w:eastAsia="da-DK"/>
        </w:rPr>
        <w:t xml:space="preserve"> anbefalinger om supplerende foranstaltninger</w:t>
      </w:r>
      <w:r w:rsidR="009A5D0F" w:rsidRPr="00DC4F35">
        <w:rPr>
          <w:lang w:eastAsia="da-DK"/>
        </w:rPr>
        <w:t xml:space="preserve"> samt EDPS’ afgørelse vedrørende EU-Kommissionens brug af Microsoft 365</w:t>
      </w:r>
      <w:bookmarkEnd w:id="79"/>
    </w:p>
    <w:p w14:paraId="3D1BE078" w14:textId="0E630D88" w:rsidR="00503927" w:rsidRPr="00DC4F35" w:rsidRDefault="00503927" w:rsidP="00503927">
      <w:r w:rsidRPr="00DC4F35">
        <w:t>EDPB har i rådets retningslinjer nr. 01/2020 om foranstaltninger, der supplerer overførselsværktøjer for at sikre overholdelse af EU-niveauet for beskyttelse af personoplysninger</w:t>
      </w:r>
      <w:r w:rsidRPr="00DC4F35">
        <w:rPr>
          <w:rStyle w:val="Fodnotehenvisning"/>
        </w:rPr>
        <w:footnoteReference w:id="29"/>
      </w:r>
      <w:r w:rsidRPr="00DC4F35">
        <w:t>, givet retningslinjer for, hvordan dataeksportører skal forholde sig til tredjelandsoverførsler, herunder hvordan overførslernes lovlighed kan dokumenteres i en TIA.</w:t>
      </w:r>
    </w:p>
    <w:p w14:paraId="717F1DAE" w14:textId="77777777" w:rsidR="00503927" w:rsidRPr="00DC4F35" w:rsidRDefault="00503927" w:rsidP="00503927"/>
    <w:p w14:paraId="34A27DFE" w14:textId="77777777" w:rsidR="00503927" w:rsidRPr="00DC4F35" w:rsidRDefault="00503927" w:rsidP="00503927">
      <w:pPr>
        <w:rPr>
          <w:lang w:eastAsia="da-DK"/>
        </w:rPr>
      </w:pPr>
      <w:r w:rsidRPr="00DC4F35">
        <w:rPr>
          <w:lang w:eastAsia="da-DK"/>
        </w:rPr>
        <w:t xml:space="preserve">Det bemærkes hertil, at Datatilsynet i tilsynets vejledning om cloud på side 22 angiver, at EDBP ikke kan anvise supplerende foranstaltninger, der effektivt vil sikre beskyttelsesniveauet, hvis der gives adgang til oplysningerne i klartekst. Konkret skriver Datatilsynet følgende: </w:t>
      </w:r>
    </w:p>
    <w:p w14:paraId="58C854C2" w14:textId="77777777" w:rsidR="00503927" w:rsidRPr="00DC4F35" w:rsidRDefault="00503927" w:rsidP="00503927">
      <w:pPr>
        <w:rPr>
          <w:lang w:eastAsia="da-DK"/>
        </w:rPr>
      </w:pPr>
    </w:p>
    <w:p w14:paraId="18688E5D" w14:textId="77777777" w:rsidR="00503927" w:rsidRPr="00DC4F35" w:rsidRDefault="00503927" w:rsidP="00503927">
      <w:pPr>
        <w:ind w:left="1304"/>
        <w:rPr>
          <w:i/>
          <w:iCs/>
        </w:rPr>
      </w:pPr>
      <w:r w:rsidRPr="00DC4F35">
        <w:rPr>
          <w:i/>
          <w:iCs/>
          <w:lang w:eastAsia="da-DK"/>
        </w:rPr>
        <w:t>”</w:t>
      </w:r>
      <w:r w:rsidRPr="00DC4F35">
        <w:rPr>
          <w:i/>
          <w:iCs/>
        </w:rPr>
        <w:t xml:space="preserve">Blandt de nævnte eksempler på supplerende tekniske foranstaltninger er det navnlig kryptering, </w:t>
      </w:r>
      <w:proofErr w:type="spellStart"/>
      <w:r w:rsidRPr="00DC4F35">
        <w:rPr>
          <w:i/>
          <w:iCs/>
        </w:rPr>
        <w:t>pseudonymisering</w:t>
      </w:r>
      <w:proofErr w:type="spellEnd"/>
      <w:r w:rsidRPr="00DC4F35">
        <w:rPr>
          <w:i/>
          <w:iCs/>
        </w:rPr>
        <w:t xml:space="preserve"> og såkaldt opsplittet behandling, der er relevante ved brug af cloudservices. </w:t>
      </w:r>
    </w:p>
    <w:p w14:paraId="7E2A513C" w14:textId="77777777" w:rsidR="00503927" w:rsidRPr="00DC4F35" w:rsidRDefault="00503927" w:rsidP="00503927">
      <w:pPr>
        <w:ind w:left="1304"/>
        <w:rPr>
          <w:i/>
          <w:iCs/>
        </w:rPr>
      </w:pPr>
    </w:p>
    <w:p w14:paraId="387B67A1" w14:textId="77777777" w:rsidR="00503927" w:rsidRPr="00DC4F35" w:rsidRDefault="00503927" w:rsidP="00503927">
      <w:pPr>
        <w:ind w:left="1304"/>
        <w:rPr>
          <w:i/>
          <w:iCs/>
          <w:lang w:eastAsia="da-DK"/>
        </w:rPr>
      </w:pPr>
      <w:r w:rsidRPr="00DC4F35">
        <w:rPr>
          <w:i/>
          <w:iCs/>
        </w:rPr>
        <w:t>Hvis du benytter en cloudservice, hvor leverandøren er nødt til at have adgang til de overførte oplysninger i klartekst, kan Det Europæiske Databeskyttelsesråd imidlertid for nuværende ikke anvise supplerende tekniske foranstaltninger, der effektivt vil sikre et beskyttelsesniveau, som i det væsentlige svarer til niveauet i EU.”</w:t>
      </w:r>
    </w:p>
    <w:p w14:paraId="714356A4" w14:textId="77777777" w:rsidR="00503927" w:rsidRPr="00DC4F35" w:rsidRDefault="00503927" w:rsidP="00503927"/>
    <w:p w14:paraId="3F5FB289" w14:textId="34F86386" w:rsidR="00503927" w:rsidRPr="00DC4F35" w:rsidRDefault="00503927" w:rsidP="00503927">
      <w:bookmarkStart w:id="80" w:name="_Hlk152603370"/>
      <w:r w:rsidRPr="00DC4F35">
        <w:rPr>
          <w:lang w:eastAsia="da-DK"/>
        </w:rPr>
        <w:t xml:space="preserve">Det samme kan udledes af </w:t>
      </w:r>
      <w:proofErr w:type="spellStart"/>
      <w:r w:rsidRPr="00DC4F35">
        <w:rPr>
          <w:lang w:eastAsia="da-DK"/>
        </w:rPr>
        <w:t>EDPB’s</w:t>
      </w:r>
      <w:proofErr w:type="spellEnd"/>
      <w:r w:rsidRPr="00DC4F35">
        <w:rPr>
          <w:lang w:eastAsia="da-DK"/>
        </w:rPr>
        <w:t xml:space="preserve"> retningslinjer</w:t>
      </w:r>
      <w:bookmarkEnd w:id="80"/>
      <w:r w:rsidR="00E84C39" w:rsidRPr="00DC4F35">
        <w:rPr>
          <w:lang w:eastAsia="da-DK"/>
        </w:rPr>
        <w:t xml:space="preserve">. </w:t>
      </w:r>
      <w:r w:rsidRPr="00DC4F35">
        <w:t>I retningslinjerne fremgår endvidere bl.a. følgende af afsnit 53 om valget af foranstaltninger:</w:t>
      </w:r>
    </w:p>
    <w:p w14:paraId="55510D68" w14:textId="77777777" w:rsidR="00503927" w:rsidRPr="00DC4F35" w:rsidRDefault="00503927" w:rsidP="00503927"/>
    <w:p w14:paraId="217C2E3E" w14:textId="0E670F59" w:rsidR="00503927" w:rsidRPr="00DC4F35" w:rsidRDefault="00503927" w:rsidP="00503927">
      <w:pPr>
        <w:ind w:left="1304"/>
        <w:rPr>
          <w:i/>
          <w:iCs/>
        </w:rPr>
      </w:pPr>
      <w:r w:rsidRPr="00DC4F35">
        <w:rPr>
          <w:i/>
          <w:iCs/>
        </w:rPr>
        <w:t xml:space="preserve">”Kontraktlige og organisatoriske foranstaltninger alene vil generelt ikke overkomme tredjelandets offentlige myndigheders adgang til personoplysninger (når denne adgang uberettiget griber ind i importørens forpligtelser til at sikre væsentligt tilsvarende beskyttelse). Der vil være situationer, hvor kun tekniske foranstaltninger vil kunne forhindre eller gøre offentlige myndigheder i tredjelandes adgang til personoplysninger ineffektiv, navnlig i forbindelse med </w:t>
      </w:r>
      <w:proofErr w:type="gramStart"/>
      <w:r w:rsidRPr="00DC4F35">
        <w:rPr>
          <w:i/>
          <w:iCs/>
        </w:rPr>
        <w:t>overvågning.</w:t>
      </w:r>
      <w:r w:rsidR="00E84C39" w:rsidRPr="00DC4F35">
        <w:rPr>
          <w:i/>
          <w:iCs/>
        </w:rPr>
        <w:t>[</w:t>
      </w:r>
      <w:proofErr w:type="gramEnd"/>
      <w:r w:rsidR="00E84C39" w:rsidRPr="00DC4F35">
        <w:rPr>
          <w:i/>
          <w:iCs/>
        </w:rPr>
        <w:t>note udeladt].</w:t>
      </w:r>
      <w:r w:rsidRPr="00DC4F35">
        <w:rPr>
          <w:i/>
          <w:iCs/>
        </w:rPr>
        <w:t xml:space="preserve"> I disse situationer kan kontraktlige eller organisatoriske foranstaltninger supplere tekniske foranstaltninger og styrke oplysningernes samlede beskyttelsesniveau, f.eks. ved at oprette hindringer for offentlige myndigheders forsøg på at opnå adgang til oplysninger på en måde, der er i strid med EU's standarder.”</w:t>
      </w:r>
    </w:p>
    <w:p w14:paraId="5F64167E" w14:textId="77777777" w:rsidR="004563A3" w:rsidRPr="00DC4F35" w:rsidRDefault="004563A3" w:rsidP="00A71A56">
      <w:pPr>
        <w:rPr>
          <w:highlight w:val="yellow"/>
          <w:lang w:eastAsia="da-DK"/>
        </w:rPr>
      </w:pPr>
    </w:p>
    <w:p w14:paraId="42109370" w14:textId="6C6417A7" w:rsidR="000B22E1" w:rsidRPr="00DC4F35" w:rsidRDefault="000B22E1" w:rsidP="00A71A56">
      <w:pPr>
        <w:rPr>
          <w:lang w:eastAsia="da-DK"/>
        </w:rPr>
      </w:pPr>
      <w:r w:rsidRPr="00DC4F35">
        <w:rPr>
          <w:lang w:eastAsia="da-DK"/>
        </w:rPr>
        <w:t xml:space="preserve">EDPB kan således ikke siges at forfægte en risikobaseret tilgang, om end </w:t>
      </w:r>
      <w:r w:rsidR="00DD0C11" w:rsidRPr="00DC4F35">
        <w:rPr>
          <w:lang w:eastAsia="da-DK"/>
        </w:rPr>
        <w:t xml:space="preserve">EDPB </w:t>
      </w:r>
      <w:r w:rsidR="00103B25" w:rsidRPr="00DC4F35">
        <w:rPr>
          <w:lang w:eastAsia="da-DK"/>
        </w:rPr>
        <w:t xml:space="preserve">i retningslinjerne </w:t>
      </w:r>
      <w:r w:rsidR="00DD0C11" w:rsidRPr="00DC4F35">
        <w:rPr>
          <w:lang w:eastAsia="da-DK"/>
        </w:rPr>
        <w:t xml:space="preserve">anerkender, at der kan være tilfælde, hvor </w:t>
      </w:r>
      <w:r w:rsidR="003C33AD" w:rsidRPr="00DC4F35">
        <w:rPr>
          <w:lang w:eastAsia="da-DK"/>
        </w:rPr>
        <w:t xml:space="preserve">en dataeksportør kan have ”no </w:t>
      </w:r>
      <w:proofErr w:type="spellStart"/>
      <w:r w:rsidR="003C33AD" w:rsidRPr="00DC4F35">
        <w:rPr>
          <w:lang w:eastAsia="da-DK"/>
        </w:rPr>
        <w:t>reason</w:t>
      </w:r>
      <w:proofErr w:type="spellEnd"/>
      <w:r w:rsidR="003C33AD" w:rsidRPr="00DC4F35">
        <w:rPr>
          <w:lang w:eastAsia="da-DK"/>
        </w:rPr>
        <w:t xml:space="preserve"> to </w:t>
      </w:r>
      <w:proofErr w:type="spellStart"/>
      <w:r w:rsidR="003C33AD" w:rsidRPr="00DC4F35">
        <w:rPr>
          <w:lang w:eastAsia="da-DK"/>
        </w:rPr>
        <w:t>believe</w:t>
      </w:r>
      <w:proofErr w:type="spellEnd"/>
      <w:r w:rsidR="003C33AD" w:rsidRPr="00DC4F35">
        <w:rPr>
          <w:lang w:eastAsia="da-DK"/>
        </w:rPr>
        <w:t xml:space="preserve">”, </w:t>
      </w:r>
      <w:r w:rsidR="00103B25" w:rsidRPr="00DC4F35">
        <w:rPr>
          <w:lang w:eastAsia="da-DK"/>
        </w:rPr>
        <w:t>at relevant problematisk lovgivning i tredjelande vil blive anvendt, i praksis, på de overførte personoplysninger eller importør, idet EDPB dog stiller skrappe krav til grundig dokumentation for denne vurdering.</w:t>
      </w:r>
      <w:r w:rsidR="00103B25" w:rsidRPr="00DC4F35">
        <w:rPr>
          <w:rStyle w:val="Fodnotehenvisning"/>
          <w:lang w:eastAsia="da-DK"/>
        </w:rPr>
        <w:footnoteReference w:id="30"/>
      </w:r>
    </w:p>
    <w:p w14:paraId="21C0A5A2" w14:textId="77777777" w:rsidR="000B22E1" w:rsidRPr="00DC4F35" w:rsidRDefault="000B22E1" w:rsidP="00A71A56">
      <w:pPr>
        <w:rPr>
          <w:highlight w:val="yellow"/>
          <w:lang w:eastAsia="da-DK"/>
        </w:rPr>
      </w:pPr>
    </w:p>
    <w:p w14:paraId="1C08C08F" w14:textId="5B92B34C" w:rsidR="002A2737" w:rsidRPr="00DC4F35" w:rsidRDefault="004563A3" w:rsidP="002A2737">
      <w:pPr>
        <w:rPr>
          <w:lang w:eastAsia="da-DK"/>
        </w:rPr>
      </w:pPr>
      <w:r w:rsidRPr="00DC4F35">
        <w:rPr>
          <w:lang w:eastAsia="da-DK"/>
        </w:rPr>
        <w:t xml:space="preserve">Den Europæiske </w:t>
      </w:r>
      <w:r w:rsidR="00612C97" w:rsidRPr="00DC4F35">
        <w:rPr>
          <w:lang w:eastAsia="da-DK"/>
        </w:rPr>
        <w:t>Tilsynsførende for Databeskyttelse (EDPS)</w:t>
      </w:r>
      <w:r w:rsidRPr="00DC4F35">
        <w:rPr>
          <w:lang w:eastAsia="da-DK"/>
        </w:rPr>
        <w:t xml:space="preserve"> har endvidere i afgørelse af den 8. </w:t>
      </w:r>
      <w:r w:rsidR="00E61BF1" w:rsidRPr="00DC4F35">
        <w:rPr>
          <w:lang w:eastAsia="da-DK"/>
        </w:rPr>
        <w:t>marts 2024</w:t>
      </w:r>
      <w:r w:rsidR="003D2C3F" w:rsidRPr="00DC4F35">
        <w:rPr>
          <w:rStyle w:val="Fodnotehenvisning"/>
          <w:lang w:eastAsia="da-DK"/>
        </w:rPr>
        <w:footnoteReference w:id="31"/>
      </w:r>
      <w:r w:rsidR="00E61BF1" w:rsidRPr="00DC4F35">
        <w:rPr>
          <w:lang w:eastAsia="da-DK"/>
        </w:rPr>
        <w:t xml:space="preserve"> </w:t>
      </w:r>
      <w:r w:rsidR="008D11A7" w:rsidRPr="00DC4F35">
        <w:rPr>
          <w:lang w:eastAsia="da-DK"/>
        </w:rPr>
        <w:t xml:space="preserve">fastsat, at </w:t>
      </w:r>
      <w:r w:rsidR="0072619A" w:rsidRPr="00DC4F35">
        <w:rPr>
          <w:lang w:eastAsia="da-DK"/>
        </w:rPr>
        <w:t xml:space="preserve">EU-Kommissionens brug af Microsoft 365 ikke er i overensstemmelse med </w:t>
      </w:r>
      <w:r w:rsidR="00225F40" w:rsidRPr="00DC4F35">
        <w:rPr>
          <w:lang w:eastAsia="da-DK"/>
        </w:rPr>
        <w:t>databeskyttelsesreglerne i forordning</w:t>
      </w:r>
      <w:r w:rsidR="002A2737" w:rsidRPr="00DC4F35">
        <w:rPr>
          <w:lang w:eastAsia="da-DK"/>
        </w:rPr>
        <w:t xml:space="preserve"> nr. 2018/1725.</w:t>
      </w:r>
      <w:r w:rsidR="0079441F" w:rsidRPr="00DC4F35">
        <w:rPr>
          <w:rStyle w:val="Fodnotehenvisning"/>
          <w:lang w:eastAsia="da-DK"/>
        </w:rPr>
        <w:footnoteReference w:id="32"/>
      </w:r>
      <w:r w:rsidR="002A2737" w:rsidRPr="00DC4F35">
        <w:rPr>
          <w:lang w:eastAsia="da-DK"/>
        </w:rPr>
        <w:t xml:space="preserve"> </w:t>
      </w:r>
      <w:r w:rsidR="006F3B97">
        <w:rPr>
          <w:lang w:eastAsia="da-DK"/>
        </w:rPr>
        <w:t>EDPS’ afgørelse er indbragt for Retten af både EU-Kommissionen og Microsoft</w:t>
      </w:r>
      <w:r w:rsidR="00FE7490">
        <w:rPr>
          <w:lang w:eastAsia="da-DK"/>
        </w:rPr>
        <w:t>, jf. sag T-265/24.</w:t>
      </w:r>
      <w:r w:rsidR="006F3B97">
        <w:rPr>
          <w:lang w:eastAsia="da-DK"/>
        </w:rPr>
        <w:t xml:space="preserve"> </w:t>
      </w:r>
      <w:r w:rsidR="001A7F21" w:rsidRPr="00DC4F35">
        <w:rPr>
          <w:lang w:eastAsia="da-DK"/>
        </w:rPr>
        <w:t>Forordningen ligner på væsentlige punkter databeskyttelsesforordningen, og sagen er dermed også relevant for en vurdering af Microsoft 365 efter databeskyttelsesforordningen. EDPS fandt i afgørelsen, at</w:t>
      </w:r>
      <w:r w:rsidR="007612F9" w:rsidRPr="00DC4F35">
        <w:rPr>
          <w:lang w:eastAsia="da-DK"/>
        </w:rPr>
        <w:t xml:space="preserve"> EU-Kommissionen ved anvendelsen af Microsoft 365 på en række punkter ikke overholdt forordning nr. 2018/1725, herunder i forbindelse med overførsler til tredjelande </w:t>
      </w:r>
      <w:r w:rsidR="007612F9" w:rsidRPr="00DC4F35">
        <w:rPr>
          <w:lang w:eastAsia="da-DK"/>
        </w:rPr>
        <w:lastRenderedPageBreak/>
        <w:t xml:space="preserve">og udleveringsanmodninger, idet EDPS foretog en vurdering af disse overførsler og anmodninger med udgangspunkt i </w:t>
      </w:r>
      <w:proofErr w:type="spellStart"/>
      <w:r w:rsidR="007612F9" w:rsidRPr="00DC4F35">
        <w:rPr>
          <w:lang w:eastAsia="da-DK"/>
        </w:rPr>
        <w:t>EDPB’s</w:t>
      </w:r>
      <w:proofErr w:type="spellEnd"/>
      <w:r w:rsidR="007612F9" w:rsidRPr="00DC4F35">
        <w:rPr>
          <w:lang w:eastAsia="da-DK"/>
        </w:rPr>
        <w:t xml:space="preserve"> retningslinjer.</w:t>
      </w:r>
      <w:r w:rsidR="0052627D" w:rsidRPr="00DC4F35">
        <w:rPr>
          <w:lang w:eastAsia="da-DK"/>
        </w:rPr>
        <w:t xml:space="preserve"> EDPS’ synspunkter er nævnt forskellige relevante steder i denne transfer </w:t>
      </w:r>
      <w:proofErr w:type="spellStart"/>
      <w:r w:rsidR="0052627D" w:rsidRPr="00DC4F35">
        <w:rPr>
          <w:lang w:eastAsia="da-DK"/>
        </w:rPr>
        <w:t>impact</w:t>
      </w:r>
      <w:proofErr w:type="spellEnd"/>
      <w:r w:rsidR="0052627D" w:rsidRPr="00DC4F35">
        <w:rPr>
          <w:lang w:eastAsia="da-DK"/>
        </w:rPr>
        <w:t xml:space="preserve"> </w:t>
      </w:r>
      <w:proofErr w:type="spellStart"/>
      <w:r w:rsidR="0052627D" w:rsidRPr="00DC4F35">
        <w:rPr>
          <w:lang w:eastAsia="da-DK"/>
        </w:rPr>
        <w:t>assessment</w:t>
      </w:r>
      <w:proofErr w:type="spellEnd"/>
      <w:r w:rsidR="0052627D" w:rsidRPr="00DC4F35">
        <w:rPr>
          <w:lang w:eastAsia="da-DK"/>
        </w:rPr>
        <w:t xml:space="preserve"> og konsekvensanalyse.</w:t>
      </w:r>
    </w:p>
    <w:p w14:paraId="76EB852E" w14:textId="77777777" w:rsidR="00897281" w:rsidRPr="00DC4F35" w:rsidRDefault="00897281" w:rsidP="00A71A56">
      <w:pPr>
        <w:rPr>
          <w:lang w:eastAsia="da-DK"/>
        </w:rPr>
      </w:pPr>
    </w:p>
    <w:p w14:paraId="085248A7" w14:textId="619FC728" w:rsidR="00677504" w:rsidRPr="00DC4F35" w:rsidRDefault="00677504" w:rsidP="00686F16">
      <w:pPr>
        <w:pStyle w:val="Overskrift3"/>
        <w:rPr>
          <w:lang w:eastAsia="da-DK"/>
        </w:rPr>
      </w:pPr>
      <w:bookmarkStart w:id="81" w:name="_Toc170824045"/>
      <w:r w:rsidRPr="00DC4F35">
        <w:rPr>
          <w:lang w:eastAsia="da-DK"/>
        </w:rPr>
        <w:t>Relevant retspraksis</w:t>
      </w:r>
      <w:r w:rsidR="0090771D" w:rsidRPr="00DC4F35">
        <w:rPr>
          <w:lang w:eastAsia="da-DK"/>
        </w:rPr>
        <w:t xml:space="preserve"> og administrativ praksis</w:t>
      </w:r>
      <w:bookmarkEnd w:id="81"/>
    </w:p>
    <w:p w14:paraId="11E63CF1" w14:textId="5678E10F" w:rsidR="00A71A56" w:rsidRPr="00DC4F35" w:rsidRDefault="00677504" w:rsidP="00686F16">
      <w:pPr>
        <w:pStyle w:val="Overskrift4"/>
      </w:pPr>
      <w:bookmarkStart w:id="82" w:name="_Ref164863047"/>
      <w:proofErr w:type="spellStart"/>
      <w:r w:rsidRPr="00DC4F35">
        <w:t>Co</w:t>
      </w:r>
      <w:r w:rsidR="003A55E5" w:rsidRPr="00DC4F35">
        <w:t>nseil</w:t>
      </w:r>
      <w:proofErr w:type="spellEnd"/>
      <w:r w:rsidR="003A55E5" w:rsidRPr="00DC4F35">
        <w:t xml:space="preserve"> </w:t>
      </w:r>
      <w:proofErr w:type="spellStart"/>
      <w:r w:rsidR="003A55E5" w:rsidRPr="00DC4F35">
        <w:t>d'État’s</w:t>
      </w:r>
      <w:proofErr w:type="spellEnd"/>
      <w:r w:rsidR="003A55E5" w:rsidRPr="00DC4F35">
        <w:t xml:space="preserve"> afgørelse af </w:t>
      </w:r>
      <w:r w:rsidR="00FD3D96" w:rsidRPr="00DC4F35">
        <w:t xml:space="preserve">den </w:t>
      </w:r>
      <w:r w:rsidR="00186098" w:rsidRPr="00DC4F35">
        <w:t xml:space="preserve">12. marts 2021 om suspension af aftale mellem sundhedsministeriet og </w:t>
      </w:r>
      <w:proofErr w:type="spellStart"/>
      <w:r w:rsidR="00186098" w:rsidRPr="00DC4F35">
        <w:t>Doctolib</w:t>
      </w:r>
      <w:bookmarkEnd w:id="82"/>
      <w:proofErr w:type="spellEnd"/>
    </w:p>
    <w:p w14:paraId="7387B420" w14:textId="637B623C" w:rsidR="00447ACA" w:rsidRPr="001C19E7" w:rsidRDefault="00447ACA" w:rsidP="00F212A8">
      <w:pPr>
        <w:rPr>
          <w:lang w:val="en-US"/>
        </w:rPr>
      </w:pPr>
      <w:r w:rsidRPr="00DC4F35">
        <w:t>Fran</w:t>
      </w:r>
      <w:r w:rsidR="006F0A47" w:rsidRPr="00DC4F35">
        <w:t>s</w:t>
      </w:r>
      <w:r w:rsidRPr="00DC4F35">
        <w:t xml:space="preserve">ke </w:t>
      </w:r>
      <w:proofErr w:type="spellStart"/>
      <w:r w:rsidRPr="00DC4F35">
        <w:t>Conseil</w:t>
      </w:r>
      <w:proofErr w:type="spellEnd"/>
      <w:r w:rsidRPr="00DC4F35">
        <w:t xml:space="preserve"> </w:t>
      </w:r>
      <w:proofErr w:type="spellStart"/>
      <w:r w:rsidRPr="00DC4F35">
        <w:t>d'État’s</w:t>
      </w:r>
      <w:proofErr w:type="spellEnd"/>
      <w:r w:rsidRPr="00DC4F35">
        <w:t xml:space="preserve"> hasteansøgningsdommer blev af ”</w:t>
      </w:r>
      <w:r w:rsidRPr="00DC4F35">
        <w:rPr>
          <w:i/>
          <w:iCs/>
        </w:rPr>
        <w:t xml:space="preserve">Associations and </w:t>
      </w:r>
      <w:proofErr w:type="spellStart"/>
      <w:r w:rsidRPr="00DC4F35">
        <w:rPr>
          <w:i/>
          <w:iCs/>
        </w:rPr>
        <w:t>trade</w:t>
      </w:r>
      <w:proofErr w:type="spellEnd"/>
      <w:r w:rsidRPr="00DC4F35">
        <w:rPr>
          <w:i/>
          <w:iCs/>
        </w:rPr>
        <w:t xml:space="preserve"> union in the </w:t>
      </w:r>
      <w:proofErr w:type="spellStart"/>
      <w:r w:rsidRPr="00DC4F35">
        <w:rPr>
          <w:i/>
          <w:iCs/>
        </w:rPr>
        <w:t>health</w:t>
      </w:r>
      <w:proofErr w:type="spellEnd"/>
      <w:r w:rsidRPr="00DC4F35">
        <w:rPr>
          <w:i/>
          <w:iCs/>
        </w:rPr>
        <w:t xml:space="preserve"> </w:t>
      </w:r>
      <w:proofErr w:type="spellStart"/>
      <w:r w:rsidRPr="00DC4F35">
        <w:rPr>
          <w:i/>
          <w:iCs/>
        </w:rPr>
        <w:t>sector</w:t>
      </w:r>
      <w:proofErr w:type="spellEnd"/>
      <w:r w:rsidRPr="00DC4F35">
        <w:t>” bedt om at suspendere det franske sundhedsministeri</w:t>
      </w:r>
      <w:r w:rsidR="005B6A85" w:rsidRPr="00DC4F35">
        <w:t>ums</w:t>
      </w:r>
      <w:r w:rsidRPr="00DC4F35">
        <w:t xml:space="preserve"> aftale med en leverandør, der i forbindelse med </w:t>
      </w:r>
      <w:r w:rsidR="005B6A85" w:rsidRPr="00DC4F35">
        <w:t xml:space="preserve">Covid-19-pandemien </w:t>
      </w:r>
      <w:r w:rsidRPr="00DC4F35">
        <w:t>bistod med tidsbestilling til vaccination. Årsagen var</w:t>
      </w:r>
      <w:r w:rsidR="005B6A85" w:rsidRPr="00DC4F35">
        <w:t>,</w:t>
      </w:r>
      <w:r w:rsidRPr="00DC4F35">
        <w:t xml:space="preserve"> at leverandøren, </w:t>
      </w:r>
      <w:proofErr w:type="spellStart"/>
      <w:r w:rsidRPr="00DC4F35">
        <w:t>Doctolib</w:t>
      </w:r>
      <w:proofErr w:type="spellEnd"/>
      <w:r w:rsidR="005B6A85" w:rsidRPr="00DC4F35">
        <w:t>,</w:t>
      </w:r>
      <w:r w:rsidRPr="00DC4F35">
        <w:t xml:space="preserve"> anvendte AWS </w:t>
      </w:r>
      <w:proofErr w:type="spellStart"/>
      <w:r w:rsidRPr="00DC4F35">
        <w:t>Sarl</w:t>
      </w:r>
      <w:proofErr w:type="spellEnd"/>
      <w:r w:rsidRPr="00DC4F35">
        <w:t xml:space="preserve"> – som er Amazon Web Services </w:t>
      </w:r>
      <w:proofErr w:type="spellStart"/>
      <w:r w:rsidRPr="00DC4F35">
        <w:t>Inc.’s</w:t>
      </w:r>
      <w:proofErr w:type="spellEnd"/>
      <w:r w:rsidRPr="00DC4F35">
        <w:t xml:space="preserve"> </w:t>
      </w:r>
      <w:r w:rsidR="005B6A85" w:rsidRPr="00DC4F35">
        <w:t xml:space="preserve">europæiske </w:t>
      </w:r>
      <w:r w:rsidRPr="00DC4F35">
        <w:t>datterselskab – til opbevaring af personoplysninger i forbindelse hermed.</w:t>
      </w:r>
      <w:r w:rsidR="006F0A47" w:rsidRPr="00DC4F35">
        <w:t xml:space="preserve"> </w:t>
      </w:r>
      <w:r w:rsidR="006F0A47" w:rsidRPr="001C19E7">
        <w:rPr>
          <w:lang w:val="en-US"/>
        </w:rPr>
        <w:t xml:space="preserve">Det var </w:t>
      </w:r>
      <w:proofErr w:type="spellStart"/>
      <w:r w:rsidR="006F0A47" w:rsidRPr="001C19E7">
        <w:rPr>
          <w:lang w:val="en-US"/>
        </w:rPr>
        <w:t>fagforeningens</w:t>
      </w:r>
      <w:proofErr w:type="spellEnd"/>
      <w:r w:rsidR="006F0A47" w:rsidRPr="001C19E7">
        <w:rPr>
          <w:lang w:val="en-US"/>
        </w:rPr>
        <w:t xml:space="preserve"> </w:t>
      </w:r>
      <w:proofErr w:type="spellStart"/>
      <w:r w:rsidR="006F0A47" w:rsidRPr="001C19E7">
        <w:rPr>
          <w:lang w:val="en-US"/>
        </w:rPr>
        <w:t>opfattelse</w:t>
      </w:r>
      <w:proofErr w:type="spellEnd"/>
      <w:r w:rsidR="005B6A85" w:rsidRPr="001C19E7">
        <w:rPr>
          <w:lang w:val="en-US"/>
        </w:rPr>
        <w:t>,</w:t>
      </w:r>
      <w:r w:rsidR="006F0A47" w:rsidRPr="001C19E7">
        <w:rPr>
          <w:lang w:val="en-US"/>
        </w:rPr>
        <w:t xml:space="preserve"> </w:t>
      </w:r>
      <w:proofErr w:type="gramStart"/>
      <w:r w:rsidR="006F0A47" w:rsidRPr="001C19E7">
        <w:rPr>
          <w:lang w:val="en-US"/>
        </w:rPr>
        <w:t>at ”</w:t>
      </w:r>
      <w:r w:rsidR="006F0A47" w:rsidRPr="001C19E7">
        <w:rPr>
          <w:i/>
          <w:iCs/>
          <w:lang w:val="en-US"/>
        </w:rPr>
        <w:t>the</w:t>
      </w:r>
      <w:proofErr w:type="gramEnd"/>
      <w:r w:rsidR="006F0A47" w:rsidRPr="001C19E7">
        <w:rPr>
          <w:i/>
          <w:iCs/>
          <w:lang w:val="en-US"/>
        </w:rPr>
        <w:t xml:space="preserve"> hosting of </w:t>
      </w:r>
      <w:proofErr w:type="spellStart"/>
      <w:r w:rsidR="006F0A47" w:rsidRPr="001C19E7">
        <w:rPr>
          <w:i/>
          <w:iCs/>
          <w:lang w:val="en-US"/>
        </w:rPr>
        <w:t>Doctolib's</w:t>
      </w:r>
      <w:proofErr w:type="spellEnd"/>
      <w:r w:rsidR="006F0A47" w:rsidRPr="001C19E7">
        <w:rPr>
          <w:i/>
          <w:iCs/>
          <w:lang w:val="en-US"/>
        </w:rPr>
        <w:t xml:space="preserve"> data by the subsidiary of an American company posed risks with regard to access requests by the American authorities.</w:t>
      </w:r>
      <w:r w:rsidR="006F0A47" w:rsidRPr="001C19E7">
        <w:rPr>
          <w:lang w:val="en-US"/>
        </w:rPr>
        <w:t>”</w:t>
      </w:r>
    </w:p>
    <w:p w14:paraId="48245690" w14:textId="77777777" w:rsidR="006F0A47" w:rsidRPr="001C19E7" w:rsidRDefault="006F0A47" w:rsidP="00F212A8">
      <w:pPr>
        <w:rPr>
          <w:lang w:val="en-US"/>
        </w:rPr>
      </w:pPr>
    </w:p>
    <w:p w14:paraId="35BFFC66" w14:textId="7146912C" w:rsidR="006F0A47" w:rsidRPr="001C19E7" w:rsidRDefault="0042149A" w:rsidP="00F212A8">
      <w:pPr>
        <w:rPr>
          <w:lang w:val="en-US"/>
        </w:rPr>
      </w:pPr>
      <w:r w:rsidRPr="001C19E7">
        <w:rPr>
          <w:lang w:val="en-US"/>
        </w:rPr>
        <w:t xml:space="preserve">Det </w:t>
      </w:r>
      <w:proofErr w:type="spellStart"/>
      <w:r w:rsidRPr="001C19E7">
        <w:rPr>
          <w:lang w:val="en-US"/>
        </w:rPr>
        <w:t>fremgår</w:t>
      </w:r>
      <w:proofErr w:type="spellEnd"/>
      <w:r w:rsidRPr="001C19E7">
        <w:rPr>
          <w:lang w:val="en-US"/>
        </w:rPr>
        <w:t xml:space="preserve"> </w:t>
      </w:r>
      <w:proofErr w:type="spellStart"/>
      <w:r w:rsidRPr="001C19E7">
        <w:rPr>
          <w:lang w:val="en-US"/>
        </w:rPr>
        <w:t>af</w:t>
      </w:r>
      <w:proofErr w:type="spellEnd"/>
      <w:r w:rsidRPr="001C19E7">
        <w:rPr>
          <w:lang w:val="en-US"/>
        </w:rPr>
        <w:t xml:space="preserve"> Conseil </w:t>
      </w:r>
      <w:proofErr w:type="spellStart"/>
      <w:r w:rsidRPr="001C19E7">
        <w:rPr>
          <w:lang w:val="en-US"/>
        </w:rPr>
        <w:t>d'État’s</w:t>
      </w:r>
      <w:proofErr w:type="spellEnd"/>
      <w:r w:rsidRPr="001C19E7">
        <w:rPr>
          <w:lang w:val="en-US"/>
        </w:rPr>
        <w:t xml:space="preserve"> </w:t>
      </w:r>
      <w:proofErr w:type="spellStart"/>
      <w:r w:rsidR="005B6A85" w:rsidRPr="001C19E7">
        <w:rPr>
          <w:lang w:val="en-US"/>
        </w:rPr>
        <w:t>pressemeddelelse</w:t>
      </w:r>
      <w:proofErr w:type="spellEnd"/>
      <w:r w:rsidR="00CB61E7" w:rsidRPr="00DC4F35">
        <w:rPr>
          <w:rStyle w:val="Fodnotehenvisning"/>
          <w:iCs/>
        </w:rPr>
        <w:footnoteReference w:id="33"/>
      </w:r>
      <w:r w:rsidRPr="001C19E7">
        <w:rPr>
          <w:lang w:val="en-US"/>
        </w:rPr>
        <w:t xml:space="preserve">, at den </w:t>
      </w:r>
      <w:proofErr w:type="spellStart"/>
      <w:r w:rsidRPr="001C19E7">
        <w:rPr>
          <w:lang w:val="en-US"/>
        </w:rPr>
        <w:t>franske</w:t>
      </w:r>
      <w:proofErr w:type="spellEnd"/>
      <w:r w:rsidRPr="001C19E7">
        <w:rPr>
          <w:lang w:val="en-US"/>
        </w:rPr>
        <w:t xml:space="preserve"> </w:t>
      </w:r>
      <w:proofErr w:type="spellStart"/>
      <w:r w:rsidRPr="001C19E7">
        <w:rPr>
          <w:lang w:val="en-US"/>
        </w:rPr>
        <w:t>dommer</w:t>
      </w:r>
      <w:proofErr w:type="spellEnd"/>
      <w:r w:rsidRPr="001C19E7">
        <w:rPr>
          <w:lang w:val="en-US"/>
        </w:rPr>
        <w:t xml:space="preserve"> </w:t>
      </w:r>
      <w:proofErr w:type="spellStart"/>
      <w:r w:rsidRPr="001C19E7">
        <w:rPr>
          <w:lang w:val="en-US"/>
        </w:rPr>
        <w:t>ind</w:t>
      </w:r>
      <w:r w:rsidR="005B6A85" w:rsidRPr="001C19E7">
        <w:rPr>
          <w:lang w:val="en-US"/>
        </w:rPr>
        <w:t>drog</w:t>
      </w:r>
      <w:proofErr w:type="spellEnd"/>
      <w:r w:rsidRPr="001C19E7">
        <w:rPr>
          <w:lang w:val="en-US"/>
        </w:rPr>
        <w:t xml:space="preserve"> </w:t>
      </w:r>
      <w:proofErr w:type="spellStart"/>
      <w:r w:rsidRPr="001C19E7">
        <w:rPr>
          <w:lang w:val="en-US"/>
        </w:rPr>
        <w:t>betragtningerne</w:t>
      </w:r>
      <w:proofErr w:type="spellEnd"/>
      <w:r w:rsidRPr="001C19E7">
        <w:rPr>
          <w:lang w:val="en-US"/>
        </w:rPr>
        <w:t xml:space="preserve"> </w:t>
      </w:r>
      <w:proofErr w:type="spellStart"/>
      <w:proofErr w:type="gramStart"/>
      <w:r w:rsidRPr="001C19E7">
        <w:rPr>
          <w:lang w:val="en-US"/>
        </w:rPr>
        <w:t>fra</w:t>
      </w:r>
      <w:proofErr w:type="spellEnd"/>
      <w:r w:rsidRPr="001C19E7">
        <w:rPr>
          <w:lang w:val="en-US"/>
        </w:rPr>
        <w:t xml:space="preserve"> ”</w:t>
      </w:r>
      <w:proofErr w:type="spellStart"/>
      <w:r w:rsidRPr="001C19E7">
        <w:rPr>
          <w:lang w:val="en-US"/>
        </w:rPr>
        <w:t>Schrems</w:t>
      </w:r>
      <w:proofErr w:type="spellEnd"/>
      <w:proofErr w:type="gramEnd"/>
      <w:r w:rsidRPr="001C19E7">
        <w:rPr>
          <w:lang w:val="en-US"/>
        </w:rPr>
        <w:t xml:space="preserve"> II”-</w:t>
      </w:r>
      <w:proofErr w:type="spellStart"/>
      <w:r w:rsidR="005B6A85" w:rsidRPr="001C19E7">
        <w:rPr>
          <w:lang w:val="en-US"/>
        </w:rPr>
        <w:t>dommen</w:t>
      </w:r>
      <w:proofErr w:type="spellEnd"/>
      <w:r w:rsidRPr="001C19E7">
        <w:rPr>
          <w:lang w:val="en-US"/>
        </w:rPr>
        <w:t xml:space="preserve"> og </w:t>
      </w:r>
      <w:r w:rsidRPr="001C19E7">
        <w:rPr>
          <w:i/>
          <w:iCs/>
          <w:lang w:val="en-US"/>
        </w:rPr>
        <w:t xml:space="preserve">”therefore verified the level of protection provided during data processing, taking into account the nature of the data in question and the provisions of the contract concluded between </w:t>
      </w:r>
      <w:proofErr w:type="spellStart"/>
      <w:r w:rsidRPr="001C19E7">
        <w:rPr>
          <w:i/>
          <w:iCs/>
          <w:lang w:val="en-US"/>
        </w:rPr>
        <w:t>Doctolib</w:t>
      </w:r>
      <w:proofErr w:type="spellEnd"/>
      <w:r w:rsidRPr="001C19E7">
        <w:rPr>
          <w:i/>
          <w:iCs/>
          <w:lang w:val="en-US"/>
        </w:rPr>
        <w:t xml:space="preserve"> and AWS </w:t>
      </w:r>
      <w:proofErr w:type="spellStart"/>
      <w:r w:rsidRPr="001C19E7">
        <w:rPr>
          <w:i/>
          <w:iCs/>
          <w:lang w:val="en-US"/>
        </w:rPr>
        <w:t>Sarl</w:t>
      </w:r>
      <w:proofErr w:type="spellEnd"/>
      <w:r w:rsidRPr="001C19E7">
        <w:rPr>
          <w:i/>
          <w:iCs/>
          <w:lang w:val="en-US"/>
        </w:rPr>
        <w:t xml:space="preserve"> and the law applicable to this company.”</w:t>
      </w:r>
    </w:p>
    <w:p w14:paraId="43C8C5B2" w14:textId="77777777" w:rsidR="00447ACA" w:rsidRPr="001C19E7" w:rsidRDefault="00447ACA" w:rsidP="00A71A56">
      <w:pPr>
        <w:rPr>
          <w:lang w:val="en-US"/>
        </w:rPr>
      </w:pPr>
    </w:p>
    <w:p w14:paraId="26A10FAE" w14:textId="73D1704D" w:rsidR="0042149A" w:rsidRPr="00DC4F35" w:rsidRDefault="0042149A" w:rsidP="00A71A56">
      <w:r w:rsidRPr="00DC4F35">
        <w:t>Det førte ifølge det oplyste til følgende vurdering, der efter S</w:t>
      </w:r>
      <w:r w:rsidR="00BD7C21" w:rsidRPr="00DC4F35">
        <w:t>tatens It</w:t>
      </w:r>
      <w:r w:rsidRPr="00DC4F35">
        <w:t xml:space="preserve"> og Ø</w:t>
      </w:r>
      <w:r w:rsidR="00BD7C21" w:rsidRPr="00DC4F35">
        <w:t>konomistyrelsens</w:t>
      </w:r>
      <w:r w:rsidRPr="00DC4F35">
        <w:t xml:space="preserve"> opfattelse </w:t>
      </w:r>
      <w:r w:rsidR="004D64DF" w:rsidRPr="00DC4F35">
        <w:t xml:space="preserve">er udtryk for en </w:t>
      </w:r>
      <w:r w:rsidRPr="00DC4F35">
        <w:t>risikobaseret tilgang</w:t>
      </w:r>
      <w:r w:rsidR="00B44E8B" w:rsidRPr="00DC4F35">
        <w:t xml:space="preserve"> til spørgsmålet om vurderingen af, hvorvidt der etableres det fornødne beskyttelsesniveau ved overførsler til tredjelande</w:t>
      </w:r>
      <w:r w:rsidRPr="00DC4F35">
        <w:t>:</w:t>
      </w:r>
    </w:p>
    <w:p w14:paraId="1D876DBB" w14:textId="77777777" w:rsidR="0042149A" w:rsidRPr="00DC4F35" w:rsidRDefault="0042149A" w:rsidP="00A71A56"/>
    <w:p w14:paraId="14813D3B" w14:textId="7125FBE5" w:rsidR="0042149A" w:rsidRPr="001C19E7" w:rsidRDefault="0042149A" w:rsidP="0042149A">
      <w:pPr>
        <w:ind w:left="1304"/>
        <w:rPr>
          <w:i/>
          <w:iCs/>
          <w:lang w:val="en-US"/>
        </w:rPr>
      </w:pPr>
      <w:r w:rsidRPr="001C19E7">
        <w:rPr>
          <w:i/>
          <w:iCs/>
          <w:lang w:val="en-US"/>
        </w:rPr>
        <w:t xml:space="preserve">“The Conseil </w:t>
      </w:r>
      <w:proofErr w:type="spellStart"/>
      <w:r w:rsidRPr="001C19E7">
        <w:rPr>
          <w:i/>
          <w:iCs/>
          <w:lang w:val="en-US"/>
        </w:rPr>
        <w:t>d'État’s</w:t>
      </w:r>
      <w:proofErr w:type="spellEnd"/>
      <w:r w:rsidRPr="001C19E7">
        <w:rPr>
          <w:i/>
          <w:iCs/>
          <w:lang w:val="en-US"/>
        </w:rPr>
        <w:t xml:space="preserve"> urgent applications judge first observed that the data transmitted to </w:t>
      </w:r>
      <w:proofErr w:type="spellStart"/>
      <w:r w:rsidRPr="001C19E7">
        <w:rPr>
          <w:i/>
          <w:iCs/>
          <w:lang w:val="en-US"/>
        </w:rPr>
        <w:t>Doctolib</w:t>
      </w:r>
      <w:proofErr w:type="spellEnd"/>
      <w:r w:rsidRPr="001C19E7">
        <w:rPr>
          <w:i/>
          <w:iCs/>
          <w:lang w:val="en-US"/>
        </w:rPr>
        <w:t xml:space="preserve"> as part of the vaccination campaign did not include health data on the medical grounds for vaccination eligibility, but only concerned the identification of individuals and the making of appointments. This data is deleted at the latest three months after the date of the appointment, and the data subjects can also delete it directly online.</w:t>
      </w:r>
    </w:p>
    <w:p w14:paraId="3D16CA9D" w14:textId="77777777" w:rsidR="0042149A" w:rsidRPr="001C19E7" w:rsidRDefault="0042149A" w:rsidP="0042149A">
      <w:pPr>
        <w:ind w:left="1304"/>
        <w:rPr>
          <w:i/>
          <w:iCs/>
          <w:lang w:val="en-US"/>
        </w:rPr>
      </w:pPr>
    </w:p>
    <w:p w14:paraId="2E67BC22" w14:textId="77777777" w:rsidR="0042149A" w:rsidRPr="001C19E7" w:rsidRDefault="0042149A" w:rsidP="0042149A">
      <w:pPr>
        <w:ind w:left="1304"/>
        <w:rPr>
          <w:i/>
          <w:iCs/>
          <w:lang w:val="en-US"/>
        </w:rPr>
      </w:pPr>
      <w:r w:rsidRPr="001C19E7">
        <w:rPr>
          <w:i/>
          <w:iCs/>
          <w:lang w:val="en-US"/>
        </w:rPr>
        <w:t xml:space="preserve">The urgent applications judge then observed that the contract concluded between </w:t>
      </w:r>
      <w:proofErr w:type="spellStart"/>
      <w:r w:rsidRPr="001C19E7">
        <w:rPr>
          <w:i/>
          <w:iCs/>
          <w:lang w:val="en-US"/>
        </w:rPr>
        <w:t>Doctolib</w:t>
      </w:r>
      <w:proofErr w:type="spellEnd"/>
      <w:r w:rsidRPr="001C19E7">
        <w:rPr>
          <w:i/>
          <w:iCs/>
          <w:lang w:val="en-US"/>
        </w:rPr>
        <w:t xml:space="preserve"> and AWS </w:t>
      </w:r>
      <w:proofErr w:type="spellStart"/>
      <w:r w:rsidRPr="001C19E7">
        <w:rPr>
          <w:i/>
          <w:iCs/>
          <w:lang w:val="en-US"/>
        </w:rPr>
        <w:t>Sarl</w:t>
      </w:r>
      <w:proofErr w:type="spellEnd"/>
      <w:r w:rsidRPr="001C19E7">
        <w:rPr>
          <w:i/>
          <w:iCs/>
          <w:lang w:val="en-US"/>
        </w:rPr>
        <w:t xml:space="preserve"> provides for a specific procedure in the event of access requests by a foreign authority, providing for the contestation of any request that does not comply with European </w:t>
      </w:r>
      <w:r w:rsidRPr="001C19E7">
        <w:rPr>
          <w:i/>
          <w:iCs/>
          <w:lang w:val="en-US"/>
        </w:rPr>
        <w:lastRenderedPageBreak/>
        <w:t xml:space="preserve">regulations. </w:t>
      </w:r>
      <w:proofErr w:type="spellStart"/>
      <w:r w:rsidRPr="001C19E7">
        <w:rPr>
          <w:i/>
          <w:iCs/>
          <w:lang w:val="en-US"/>
        </w:rPr>
        <w:t>Doctolib</w:t>
      </w:r>
      <w:proofErr w:type="spellEnd"/>
      <w:r w:rsidRPr="001C19E7">
        <w:rPr>
          <w:i/>
          <w:iCs/>
          <w:lang w:val="en-US"/>
        </w:rPr>
        <w:t xml:space="preserve"> has also set up a security measure for the data hosted by AWS </w:t>
      </w:r>
      <w:proofErr w:type="spellStart"/>
      <w:r w:rsidRPr="001C19E7">
        <w:rPr>
          <w:i/>
          <w:iCs/>
          <w:lang w:val="en-US"/>
        </w:rPr>
        <w:t>Sarl</w:t>
      </w:r>
      <w:proofErr w:type="spellEnd"/>
      <w:r w:rsidRPr="001C19E7">
        <w:rPr>
          <w:i/>
          <w:iCs/>
          <w:lang w:val="en-US"/>
        </w:rPr>
        <w:t xml:space="preserve"> based on a trusted third party located in France in order to prevent third parties from reading the data.</w:t>
      </w:r>
    </w:p>
    <w:p w14:paraId="5CA928AF" w14:textId="77777777" w:rsidR="0042149A" w:rsidRPr="001C19E7" w:rsidRDefault="0042149A" w:rsidP="0042149A">
      <w:pPr>
        <w:ind w:left="1304"/>
        <w:rPr>
          <w:i/>
          <w:iCs/>
          <w:lang w:val="en-US"/>
        </w:rPr>
      </w:pPr>
    </w:p>
    <w:p w14:paraId="06670710" w14:textId="2688FA6D" w:rsidR="0042149A" w:rsidRPr="00DC4F35" w:rsidRDefault="0042149A" w:rsidP="0042149A">
      <w:pPr>
        <w:ind w:left="1304"/>
        <w:rPr>
          <w:i/>
          <w:iCs/>
        </w:rPr>
      </w:pPr>
      <w:r w:rsidRPr="001C19E7">
        <w:rPr>
          <w:i/>
          <w:iCs/>
          <w:lang w:val="en-US"/>
        </w:rPr>
        <w:t xml:space="preserve">Under these conditions, </w:t>
      </w:r>
      <w:r w:rsidRPr="001C19E7">
        <w:rPr>
          <w:i/>
          <w:iCs/>
          <w:u w:val="single"/>
          <w:lang w:val="en-US"/>
        </w:rPr>
        <w:t xml:space="preserve">the Conseil </w:t>
      </w:r>
      <w:proofErr w:type="spellStart"/>
      <w:r w:rsidRPr="001C19E7">
        <w:rPr>
          <w:i/>
          <w:iCs/>
          <w:u w:val="single"/>
          <w:lang w:val="en-US"/>
        </w:rPr>
        <w:t>d'État’s</w:t>
      </w:r>
      <w:proofErr w:type="spellEnd"/>
      <w:r w:rsidRPr="001C19E7">
        <w:rPr>
          <w:i/>
          <w:iCs/>
          <w:u w:val="single"/>
          <w:lang w:val="en-US"/>
        </w:rPr>
        <w:t xml:space="preserve"> urgent applications judge found that the level of protection of the data concerned was not manifestly insufficient in light of the risk invoked by the applicant associations and trade unions, and given the nature of the data in question</w:t>
      </w:r>
      <w:r w:rsidRPr="001C19E7">
        <w:rPr>
          <w:i/>
          <w:iCs/>
          <w:lang w:val="en-US"/>
        </w:rPr>
        <w:t>. The judge therefore rejected the request of the applicant associations and trade unions.”</w:t>
      </w:r>
      <w:r w:rsidR="00CB61E7" w:rsidRPr="001C19E7">
        <w:rPr>
          <w:i/>
          <w:iCs/>
          <w:lang w:val="en-US"/>
        </w:rPr>
        <w:t xml:space="preserve"> </w:t>
      </w:r>
      <w:r w:rsidR="00CB61E7" w:rsidRPr="00DC4F35">
        <w:t>(Vores understregning.)</w:t>
      </w:r>
    </w:p>
    <w:p w14:paraId="47D860D4" w14:textId="77777777" w:rsidR="00C545AE" w:rsidRPr="00DC4F35" w:rsidRDefault="00C545AE" w:rsidP="00F212A8">
      <w:pPr>
        <w:rPr>
          <w:highlight w:val="yellow"/>
        </w:rPr>
      </w:pPr>
    </w:p>
    <w:p w14:paraId="75313B3C" w14:textId="0D77FA83" w:rsidR="00754ECB" w:rsidRPr="00DC4F35" w:rsidRDefault="00754ECB" w:rsidP="00686F16">
      <w:pPr>
        <w:pStyle w:val="Overskrift4"/>
      </w:pPr>
      <w:r w:rsidRPr="00DC4F35">
        <w:t xml:space="preserve">Hollandsk konsekvensanalyse om </w:t>
      </w:r>
      <w:r w:rsidR="008F7167" w:rsidRPr="00DC4F35">
        <w:t xml:space="preserve">brug af Microsoft </w:t>
      </w:r>
      <w:r w:rsidR="006A2769" w:rsidRPr="00DC4F35">
        <w:t>Teams m.v.</w:t>
      </w:r>
    </w:p>
    <w:p w14:paraId="227201E7" w14:textId="3FFFCA0C" w:rsidR="00754ECB" w:rsidRPr="00DC4F35" w:rsidRDefault="00B52A68" w:rsidP="00754ECB">
      <w:r w:rsidRPr="00DC4F35">
        <w:t xml:space="preserve">Der kan endvidere henvises til </w:t>
      </w:r>
      <w:r w:rsidR="00DB2DF4" w:rsidRPr="00DC4F35">
        <w:t xml:space="preserve">en konsekvensanalyse vedrørende databeskyttelse for behandlingen af personoplysninger i Microsoft Teams, OneDrive, </w:t>
      </w:r>
      <w:proofErr w:type="spellStart"/>
      <w:r w:rsidR="00DB2DF4" w:rsidRPr="00DC4F35">
        <w:t>Sharepoint</w:t>
      </w:r>
      <w:proofErr w:type="spellEnd"/>
      <w:r w:rsidR="00DB2DF4" w:rsidRPr="00DC4F35">
        <w:t xml:space="preserve"> og </w:t>
      </w:r>
      <w:proofErr w:type="spellStart"/>
      <w:r w:rsidR="00DB2DF4" w:rsidRPr="00DC4F35">
        <w:t>Azure</w:t>
      </w:r>
      <w:proofErr w:type="spellEnd"/>
      <w:r w:rsidR="00DB2DF4" w:rsidRPr="00DC4F35">
        <w:t xml:space="preserve"> AD udarbejdet af bl.a. det hollandske justits- og sikkerhedsministerium.</w:t>
      </w:r>
      <w:r w:rsidR="00FA05E2" w:rsidRPr="00DC4F35">
        <w:rPr>
          <w:rStyle w:val="Fodnotehenvisning"/>
        </w:rPr>
        <w:footnoteReference w:id="34"/>
      </w:r>
      <w:r w:rsidR="00DB2DF4" w:rsidRPr="00DC4F35">
        <w:t xml:space="preserve"> I konsekvensanalysen anvendes der således en risikobaseret tilgang til vurderingen af lovligheden af overførsler af personoplysninger til USA (før implementeringen af EU-US Data </w:t>
      </w:r>
      <w:proofErr w:type="spellStart"/>
      <w:r w:rsidR="00DB2DF4" w:rsidRPr="00DC4F35">
        <w:t>Privacy</w:t>
      </w:r>
      <w:proofErr w:type="spellEnd"/>
      <w:r w:rsidR="00DB2DF4" w:rsidRPr="00DC4F35">
        <w:t xml:space="preserve"> Framework), og hvor der tydeligt i vurderingen lægges vægt på sandsynligheden for, at de identificerede risici for udleveringer til de amerikanske myndigheder realiseres</w:t>
      </w:r>
      <w:r w:rsidR="00BC6C85" w:rsidRPr="00DC4F35">
        <w:t>, jf. særligt konsekvensanalysens s</w:t>
      </w:r>
      <w:r w:rsidR="005F4125" w:rsidRPr="00DC4F35">
        <w:t>ide</w:t>
      </w:r>
      <w:r w:rsidR="00BC6C85" w:rsidRPr="00DC4F35">
        <w:t xml:space="preserve"> 5-6</w:t>
      </w:r>
      <w:r w:rsidR="005F4125" w:rsidRPr="00DC4F35">
        <w:t xml:space="preserve"> og side </w:t>
      </w:r>
      <w:r w:rsidR="00EC2BDB" w:rsidRPr="00DC4F35">
        <w:t xml:space="preserve">72 ff., </w:t>
      </w:r>
      <w:r w:rsidR="005F4125" w:rsidRPr="00DC4F35">
        <w:t>samt de</w:t>
      </w:r>
      <w:r w:rsidR="00871F46" w:rsidRPr="00DC4F35">
        <w:t>n</w:t>
      </w:r>
      <w:r w:rsidR="005F4125" w:rsidRPr="00DC4F35">
        <w:t xml:space="preserve"> til konsekvensanalysen bilag</w:t>
      </w:r>
      <w:r w:rsidR="00EC2BDB" w:rsidRPr="00DC4F35">
        <w:t>te</w:t>
      </w:r>
      <w:r w:rsidR="005F4125" w:rsidRPr="00DC4F35">
        <w:t xml:space="preserve"> TIA.</w:t>
      </w:r>
    </w:p>
    <w:p w14:paraId="1D394764" w14:textId="77777777" w:rsidR="00281547" w:rsidRPr="00DC4F35" w:rsidRDefault="00281547" w:rsidP="00430E95">
      <w:pPr>
        <w:rPr>
          <w:highlight w:val="yellow"/>
        </w:rPr>
      </w:pPr>
    </w:p>
    <w:p w14:paraId="391B970E" w14:textId="7B6C2364" w:rsidR="00984F71" w:rsidRPr="00DC4F35" w:rsidRDefault="0032613C" w:rsidP="00686F16">
      <w:pPr>
        <w:pStyle w:val="Overskrift3"/>
        <w:spacing w:after="0"/>
      </w:pPr>
      <w:bookmarkStart w:id="83" w:name="_Toc167138381"/>
      <w:bookmarkStart w:id="84" w:name="_Toc167138382"/>
      <w:bookmarkStart w:id="85" w:name="_Toc167138383"/>
      <w:bookmarkStart w:id="86" w:name="_Toc170824046"/>
      <w:bookmarkEnd w:id="83"/>
      <w:bookmarkEnd w:id="84"/>
      <w:bookmarkEnd w:id="85"/>
      <w:r w:rsidRPr="00DC4F35">
        <w:t>Den juridiske litteratur</w:t>
      </w:r>
      <w:bookmarkEnd w:id="86"/>
    </w:p>
    <w:p w14:paraId="4A8AE205" w14:textId="6303A394" w:rsidR="00DE728A" w:rsidRPr="00DC4F35" w:rsidRDefault="001210CF" w:rsidP="004A17A1">
      <w:r w:rsidRPr="00DC4F35">
        <w:t>Også i den juridiske litteratur er der støtte til den risikobaserede tilgang til vurdering af, hvorvidt der er etableret den fornødne beskyttelse af personoplysninger, når disse overføres til usikre tredjelande.</w:t>
      </w:r>
      <w:r w:rsidR="00371D56" w:rsidRPr="00DC4F35">
        <w:rPr>
          <w:rStyle w:val="Fodnotehenvisning"/>
        </w:rPr>
        <w:footnoteReference w:id="35"/>
      </w:r>
      <w:r w:rsidRPr="00DC4F35">
        <w:t xml:space="preserve"> </w:t>
      </w:r>
    </w:p>
    <w:p w14:paraId="204A9EC9" w14:textId="77777777" w:rsidR="00EF4D1C" w:rsidRPr="00DC4F35" w:rsidRDefault="00EF4D1C" w:rsidP="002E715A">
      <w:pPr>
        <w:spacing w:after="160" w:line="259" w:lineRule="auto"/>
        <w:jc w:val="left"/>
      </w:pPr>
    </w:p>
    <w:p w14:paraId="6FEECBD9" w14:textId="77777777" w:rsidR="0036440D" w:rsidRPr="00DC4F35" w:rsidRDefault="0036440D" w:rsidP="0036440D">
      <w:pPr>
        <w:pStyle w:val="Overskrift1"/>
      </w:pPr>
      <w:bookmarkStart w:id="87" w:name="_Toc66959790"/>
      <w:bookmarkStart w:id="88" w:name="_Ref164670643"/>
      <w:bookmarkStart w:id="89" w:name="_Toc170824047"/>
      <w:r w:rsidRPr="00DC4F35">
        <w:lastRenderedPageBreak/>
        <w:t>Trin 4: Identificer og fastsæt supplerende foranstaltninger</w:t>
      </w:r>
      <w:bookmarkEnd w:id="87"/>
      <w:bookmarkEnd w:id="88"/>
      <w:bookmarkEnd w:id="89"/>
    </w:p>
    <w:p w14:paraId="6771A1E6" w14:textId="73A6054E" w:rsidR="00155967" w:rsidRPr="001C19E7" w:rsidRDefault="00155967" w:rsidP="00155967">
      <w:pPr>
        <w:rPr>
          <w:lang w:val="en-US"/>
        </w:rPr>
      </w:pPr>
      <w:r w:rsidRPr="00DC4F35">
        <w:t>Microsoft</w:t>
      </w:r>
      <w:r w:rsidR="002E007A" w:rsidRPr="00DC4F35">
        <w:t xml:space="preserve"> Ireland</w:t>
      </w:r>
      <w:r w:rsidRPr="00DC4F35">
        <w:t xml:space="preserve"> har ifølge </w:t>
      </w:r>
      <w:proofErr w:type="spellStart"/>
      <w:r w:rsidR="00F844F1" w:rsidRPr="00DC4F35">
        <w:t>Appendix</w:t>
      </w:r>
      <w:proofErr w:type="spellEnd"/>
      <w:r w:rsidR="00F844F1" w:rsidRPr="00DC4F35">
        <w:t xml:space="preserve"> </w:t>
      </w:r>
      <w:r w:rsidRPr="00DC4F35">
        <w:t>A til Microsoft</w:t>
      </w:r>
      <w:r w:rsidR="00695B94" w:rsidRPr="00DC4F35">
        <w:t xml:space="preserve"> Irelands </w:t>
      </w:r>
      <w:r w:rsidRPr="00DC4F35">
        <w:t xml:space="preserve">databehandleraftale gennemført en risikovurdering før påbegyndelse af behandlingen af De Dataansvarliges oplysninger. </w:t>
      </w:r>
      <w:proofErr w:type="spellStart"/>
      <w:r w:rsidRPr="001C19E7">
        <w:rPr>
          <w:lang w:val="en-US"/>
        </w:rPr>
        <w:t>Videre</w:t>
      </w:r>
      <w:proofErr w:type="spellEnd"/>
      <w:r w:rsidRPr="001C19E7">
        <w:rPr>
          <w:lang w:val="en-US"/>
        </w:rPr>
        <w:t xml:space="preserve"> </w:t>
      </w:r>
      <w:proofErr w:type="spellStart"/>
      <w:r w:rsidRPr="001C19E7">
        <w:rPr>
          <w:lang w:val="en-US"/>
        </w:rPr>
        <w:t>følger</w:t>
      </w:r>
      <w:proofErr w:type="spellEnd"/>
      <w:r w:rsidRPr="001C19E7">
        <w:rPr>
          <w:lang w:val="en-US"/>
        </w:rPr>
        <w:t xml:space="preserve"> det </w:t>
      </w:r>
      <w:proofErr w:type="spellStart"/>
      <w:r w:rsidRPr="001C19E7">
        <w:rPr>
          <w:lang w:val="en-US"/>
        </w:rPr>
        <w:t>af</w:t>
      </w:r>
      <w:proofErr w:type="spellEnd"/>
      <w:r w:rsidRPr="001C19E7">
        <w:rPr>
          <w:lang w:val="en-US"/>
        </w:rPr>
        <w:t xml:space="preserve"> Microsoft</w:t>
      </w:r>
      <w:r w:rsidR="001A1DBA" w:rsidRPr="001C19E7">
        <w:rPr>
          <w:lang w:val="en-US"/>
        </w:rPr>
        <w:t xml:space="preserve"> Irelands</w:t>
      </w:r>
      <w:r w:rsidRPr="001C19E7">
        <w:rPr>
          <w:lang w:val="en-US"/>
        </w:rPr>
        <w:t xml:space="preserve"> </w:t>
      </w:r>
      <w:proofErr w:type="spellStart"/>
      <w:r w:rsidRPr="001C19E7">
        <w:rPr>
          <w:lang w:val="en-US"/>
        </w:rPr>
        <w:t>databehandleraftale</w:t>
      </w:r>
      <w:proofErr w:type="spellEnd"/>
      <w:r w:rsidRPr="00DC4F35">
        <w:rPr>
          <w:rStyle w:val="Fodnotehenvisning"/>
        </w:rPr>
        <w:footnoteReference w:id="36"/>
      </w:r>
      <w:r w:rsidRPr="001C19E7">
        <w:rPr>
          <w:lang w:val="en-US"/>
        </w:rPr>
        <w:t xml:space="preserve">, at </w:t>
      </w:r>
    </w:p>
    <w:p w14:paraId="0D5CD212" w14:textId="77777777" w:rsidR="00155967" w:rsidRPr="001C19E7" w:rsidRDefault="00155967" w:rsidP="00155967">
      <w:pPr>
        <w:rPr>
          <w:lang w:val="en-US"/>
        </w:rPr>
      </w:pPr>
    </w:p>
    <w:p w14:paraId="3CF3BB08" w14:textId="57E3026B" w:rsidR="00155967" w:rsidRPr="001C19E7" w:rsidRDefault="00155967" w:rsidP="00142011">
      <w:pPr>
        <w:ind w:left="1276"/>
        <w:rPr>
          <w:i/>
          <w:iCs/>
          <w:lang w:val="en-US"/>
        </w:rPr>
      </w:pPr>
      <w:proofErr w:type="gramStart"/>
      <w:r w:rsidRPr="001C19E7">
        <w:rPr>
          <w:lang w:val="en-US"/>
        </w:rPr>
        <w:t>”</w:t>
      </w:r>
      <w:r w:rsidRPr="001C19E7">
        <w:rPr>
          <w:i/>
          <w:iCs/>
          <w:lang w:val="en-US"/>
        </w:rPr>
        <w:t>Microsoft</w:t>
      </w:r>
      <w:proofErr w:type="gramEnd"/>
      <w:r w:rsidRPr="001C19E7">
        <w:rPr>
          <w:i/>
          <w:iCs/>
          <w:lang w:val="en-US"/>
        </w:rPr>
        <w:t xml:space="preserve"> will implement and maintain appropriate technical and organizational measures to protect Customer Data, Professional Services Data, and Personal Data against accidental or unlawful destruction, loss, alteration, unauthorized disclosure of, or access to, personal data transmitted, stored or otherwise processed. Those measures shall be set forth in a Microsoft Security Policy. Microsoft will make that policy available to Customer, along with other information reasonably requested by Customer regarding Microsoft security practices and policies.</w:t>
      </w:r>
      <w:r w:rsidRPr="001C19E7">
        <w:rPr>
          <w:lang w:val="en-US"/>
        </w:rPr>
        <w:t xml:space="preserve">” </w:t>
      </w:r>
    </w:p>
    <w:p w14:paraId="6D5AE81D" w14:textId="77777777" w:rsidR="00155967" w:rsidRPr="001C19E7" w:rsidRDefault="00155967" w:rsidP="00155967">
      <w:pPr>
        <w:rPr>
          <w:lang w:val="en-US"/>
        </w:rPr>
      </w:pPr>
    </w:p>
    <w:p w14:paraId="033A1CDB" w14:textId="2455942B" w:rsidR="00155967" w:rsidRPr="00DC4F35" w:rsidRDefault="00155967" w:rsidP="00155967">
      <w:r w:rsidRPr="00DC4F35">
        <w:t xml:space="preserve">De konkrete sikkerhedsforanstaltninger truffet af Microsoft </w:t>
      </w:r>
      <w:r w:rsidR="00695B94" w:rsidRPr="00DC4F35">
        <w:t xml:space="preserve">Ireland </w:t>
      </w:r>
      <w:r w:rsidRPr="00DC4F35">
        <w:t>er beskrevet i Microsoft</w:t>
      </w:r>
      <w:r w:rsidR="00695B94" w:rsidRPr="00DC4F35">
        <w:t xml:space="preserve"> Irelands</w:t>
      </w:r>
      <w:r w:rsidRPr="00DC4F35">
        <w:t xml:space="preserve"> databehandleraftale, samt i </w:t>
      </w:r>
      <w:proofErr w:type="spellStart"/>
      <w:r w:rsidRPr="00DC4F35">
        <w:t>Appendix</w:t>
      </w:r>
      <w:proofErr w:type="spellEnd"/>
      <w:r w:rsidRPr="00DC4F35">
        <w:t xml:space="preserve"> A</w:t>
      </w:r>
      <w:r w:rsidRPr="00DC4F35">
        <w:rPr>
          <w:rStyle w:val="Fodnotehenvisning"/>
        </w:rPr>
        <w:footnoteReference w:id="37"/>
      </w:r>
      <w:r w:rsidRPr="00DC4F35">
        <w:t xml:space="preserve"> til Microsoft</w:t>
      </w:r>
      <w:r w:rsidR="00695B94" w:rsidRPr="00DC4F35">
        <w:t xml:space="preserve"> Irelands </w:t>
      </w:r>
      <w:r w:rsidRPr="00DC4F35">
        <w:t>databehandleraftale. Foranstaltningerne knytter sig til Microsoft</w:t>
      </w:r>
      <w:r w:rsidR="00695B94" w:rsidRPr="00DC4F35">
        <w:t xml:space="preserve"> Irelands</w:t>
      </w:r>
      <w:r w:rsidRPr="00DC4F35">
        <w:t xml:space="preserve"> organisering af </w:t>
      </w:r>
      <w:proofErr w:type="spellStart"/>
      <w:r w:rsidRPr="00DC4F35">
        <w:t>informationssikkerhed</w:t>
      </w:r>
      <w:proofErr w:type="spellEnd"/>
      <w:r w:rsidRPr="00DC4F35">
        <w:t xml:space="preserve">, styring af aktiver, personalesikkerhed, fysisk og miljømæssig sikkerhed, styring af kommunikation og drift, adgangskontrol, </w:t>
      </w:r>
      <w:r w:rsidR="00154EC1" w:rsidRPr="00DC4F35">
        <w:t xml:space="preserve">begrænsninger af overførsler, </w:t>
      </w:r>
      <w:r w:rsidRPr="00DC4F35">
        <w:t>styring af informationssikkerhedshændelser og styring af virksomhedskontinuitet.</w:t>
      </w:r>
    </w:p>
    <w:p w14:paraId="134F086E" w14:textId="3F86206A" w:rsidR="00155967" w:rsidRPr="00DC4F35" w:rsidRDefault="00155967" w:rsidP="00155967"/>
    <w:p w14:paraId="00054120" w14:textId="675886A2" w:rsidR="00B21803" w:rsidRPr="00DC4F35" w:rsidRDefault="00B21803" w:rsidP="00155967">
      <w:r w:rsidRPr="00DC4F35">
        <w:t>I det følgende vil de foranstaltninger</w:t>
      </w:r>
      <w:r w:rsidR="00AE5768" w:rsidRPr="00DC4F35">
        <w:t>,</w:t>
      </w:r>
      <w:r w:rsidRPr="00DC4F35">
        <w:t xml:space="preserve"> der er særligt relevante </w:t>
      </w:r>
      <w:r w:rsidR="00811246" w:rsidRPr="00DC4F35">
        <w:t>i forhold til</w:t>
      </w:r>
      <w:r w:rsidRPr="00DC4F35">
        <w:t xml:space="preserve"> overførsel af personoplysninger til modtagere i tredjelande</w:t>
      </w:r>
      <w:r w:rsidR="00AE5768" w:rsidRPr="00DC4F35">
        <w:t>,</w:t>
      </w:r>
      <w:r w:rsidRPr="00DC4F35">
        <w:t xml:space="preserve"> blive beskrevet, herunder de foranstaltninger som Microsoft har truffet.</w:t>
      </w:r>
    </w:p>
    <w:p w14:paraId="14950933" w14:textId="77777777" w:rsidR="00B21803" w:rsidRPr="00DC4F35" w:rsidRDefault="00B21803" w:rsidP="00155967"/>
    <w:p w14:paraId="370F4A2E" w14:textId="77777777" w:rsidR="0036440D" w:rsidRPr="00DC4F35" w:rsidRDefault="0036440D" w:rsidP="0036440D">
      <w:pPr>
        <w:pStyle w:val="Overskrift2"/>
      </w:pPr>
      <w:bookmarkStart w:id="90" w:name="_Ref165118377"/>
      <w:bookmarkStart w:id="91" w:name="_Ref165119779"/>
      <w:bookmarkStart w:id="92" w:name="_Toc170824048"/>
      <w:r w:rsidRPr="00DC4F35">
        <w:t>Tekniske foranstaltninger</w:t>
      </w:r>
      <w:bookmarkEnd w:id="90"/>
      <w:bookmarkEnd w:id="91"/>
      <w:bookmarkEnd w:id="92"/>
    </w:p>
    <w:p w14:paraId="609D9469" w14:textId="264D7D74" w:rsidR="0036440D" w:rsidRPr="00DC4F35" w:rsidRDefault="00AA7A1A" w:rsidP="0036440D">
      <w:pPr>
        <w:rPr>
          <w:lang w:eastAsia="da-DK"/>
        </w:rPr>
      </w:pPr>
      <w:r w:rsidRPr="00DC4F35">
        <w:rPr>
          <w:lang w:eastAsia="da-DK"/>
        </w:rPr>
        <w:t xml:space="preserve">De Dataansvarlige </w:t>
      </w:r>
      <w:r w:rsidR="0036440D" w:rsidRPr="00DC4F35">
        <w:rPr>
          <w:lang w:eastAsia="da-DK"/>
        </w:rPr>
        <w:t xml:space="preserve">vil i det følgende beskrive de </w:t>
      </w:r>
      <w:r w:rsidR="0036440D" w:rsidRPr="00DC4F35">
        <w:rPr>
          <w:i/>
          <w:iCs/>
          <w:lang w:eastAsia="da-DK"/>
        </w:rPr>
        <w:t>tekniske</w:t>
      </w:r>
      <w:r w:rsidR="0036440D" w:rsidRPr="00DC4F35">
        <w:rPr>
          <w:lang w:eastAsia="da-DK"/>
        </w:rPr>
        <w:t xml:space="preserve"> foranstaltninger, som der vil blive implementeret i forbindelse med </w:t>
      </w:r>
      <w:r w:rsidR="001C3DB3" w:rsidRPr="00DC4F35">
        <w:rPr>
          <w:lang w:eastAsia="da-DK"/>
        </w:rPr>
        <w:t>De Dataansvarliges</w:t>
      </w:r>
      <w:r w:rsidR="0036440D" w:rsidRPr="00DC4F35">
        <w:rPr>
          <w:lang w:eastAsia="da-DK"/>
        </w:rPr>
        <w:t xml:space="preserve"> brug af</w:t>
      </w:r>
      <w:r w:rsidR="00884CBE" w:rsidRPr="00DC4F35">
        <w:rPr>
          <w:lang w:eastAsia="da-DK"/>
        </w:rPr>
        <w:t xml:space="preserve"> </w:t>
      </w:r>
      <w:r w:rsidR="00960C32" w:rsidRPr="00DC4F35">
        <w:rPr>
          <w:lang w:eastAsia="da-DK"/>
        </w:rPr>
        <w:t>Microsoft 365</w:t>
      </w:r>
      <w:r w:rsidR="00884CBE" w:rsidRPr="00DC4F35">
        <w:rPr>
          <w:lang w:eastAsia="da-DK"/>
        </w:rPr>
        <w:t>.</w:t>
      </w:r>
      <w:r w:rsidR="0036440D" w:rsidRPr="00DC4F35">
        <w:rPr>
          <w:lang w:eastAsia="da-DK"/>
        </w:rPr>
        <w:t xml:space="preserve">  </w:t>
      </w:r>
    </w:p>
    <w:p w14:paraId="4AF4D309" w14:textId="77777777" w:rsidR="0036440D" w:rsidRPr="00DC4F35" w:rsidRDefault="0036440D" w:rsidP="0036440D">
      <w:pPr>
        <w:rPr>
          <w:rFonts w:cstheme="minorHAnsi"/>
          <w:iCs/>
        </w:rPr>
      </w:pPr>
    </w:p>
    <w:p w14:paraId="2D50CCB3" w14:textId="77777777" w:rsidR="0036440D" w:rsidRPr="00DC4F35" w:rsidRDefault="0036440D" w:rsidP="0036440D">
      <w:pPr>
        <w:rPr>
          <w:b/>
          <w:bCs/>
          <w:iCs/>
        </w:rPr>
      </w:pPr>
      <w:r w:rsidRPr="00DC4F35">
        <w:rPr>
          <w:b/>
          <w:bCs/>
          <w:iCs/>
        </w:rPr>
        <w:t xml:space="preserve">Kryptering </w:t>
      </w:r>
    </w:p>
    <w:p w14:paraId="6B56D270" w14:textId="4D4900E7" w:rsidR="00753B87" w:rsidRPr="00DC4F35" w:rsidRDefault="0036440D" w:rsidP="0036440D">
      <w:pPr>
        <w:rPr>
          <w:iCs/>
        </w:rPr>
      </w:pPr>
      <w:r w:rsidRPr="00DC4F35">
        <w:rPr>
          <w:rFonts w:cstheme="minorHAnsi"/>
          <w:iCs/>
        </w:rPr>
        <w:t>Microsoft</w:t>
      </w:r>
      <w:r w:rsidR="00A73A7F" w:rsidRPr="00DC4F35">
        <w:rPr>
          <w:rFonts w:cstheme="minorHAnsi"/>
          <w:iCs/>
        </w:rPr>
        <w:t xml:space="preserve"> Ireland</w:t>
      </w:r>
      <w:r w:rsidRPr="00DC4F35">
        <w:rPr>
          <w:rFonts w:cstheme="minorHAnsi"/>
          <w:iCs/>
        </w:rPr>
        <w:t xml:space="preserve"> angiver følgende i Microsoft </w:t>
      </w:r>
      <w:r w:rsidR="00A73A7F" w:rsidRPr="00DC4F35">
        <w:rPr>
          <w:rFonts w:cstheme="minorHAnsi"/>
          <w:iCs/>
        </w:rPr>
        <w:t xml:space="preserve">Irelands </w:t>
      </w:r>
      <w:r w:rsidRPr="00DC4F35">
        <w:rPr>
          <w:iCs/>
        </w:rPr>
        <w:t>databehandleraftale</w:t>
      </w:r>
      <w:r w:rsidR="00A73A7F" w:rsidRPr="00DC4F35">
        <w:rPr>
          <w:iCs/>
        </w:rPr>
        <w:t>,</w:t>
      </w:r>
      <w:r w:rsidR="00D2657B" w:rsidRPr="00DC4F35">
        <w:rPr>
          <w:iCs/>
        </w:rPr>
        <w:t xml:space="preserve"> side 6 </w:t>
      </w:r>
      <w:r w:rsidRPr="00DC4F35">
        <w:rPr>
          <w:iCs/>
        </w:rPr>
        <w:t>afsnit ”</w:t>
      </w:r>
      <w:r w:rsidRPr="00DC4F35">
        <w:rPr>
          <w:i/>
        </w:rPr>
        <w:t xml:space="preserve">Data </w:t>
      </w:r>
      <w:proofErr w:type="spellStart"/>
      <w:r w:rsidRPr="00DC4F35">
        <w:rPr>
          <w:i/>
        </w:rPr>
        <w:t>Encryption</w:t>
      </w:r>
      <w:proofErr w:type="spellEnd"/>
      <w:r w:rsidRPr="00DC4F35">
        <w:rPr>
          <w:iCs/>
        </w:rPr>
        <w:t xml:space="preserve">”: </w:t>
      </w:r>
    </w:p>
    <w:p w14:paraId="6CC298C1" w14:textId="77777777" w:rsidR="00753B87" w:rsidRPr="00DC4F35" w:rsidRDefault="00753B87" w:rsidP="0036440D">
      <w:pPr>
        <w:rPr>
          <w:iCs/>
        </w:rPr>
      </w:pPr>
    </w:p>
    <w:p w14:paraId="3A2054F0" w14:textId="2809CA45" w:rsidR="00753B87" w:rsidRPr="001C19E7" w:rsidRDefault="0036440D" w:rsidP="00FC7CF0">
      <w:pPr>
        <w:ind w:left="1304"/>
        <w:rPr>
          <w:i/>
          <w:iCs/>
          <w:lang w:val="en-US"/>
        </w:rPr>
      </w:pPr>
      <w:r w:rsidRPr="001C19E7">
        <w:rPr>
          <w:i/>
          <w:iCs/>
          <w:lang w:val="en-US"/>
        </w:rPr>
        <w:t xml:space="preserve">“Customer Data and Professional Services Data (each including any Personal Data therein) in transit over public networks between Customer and Microsoft, or between Microsoft data centers, is encrypted by default. </w:t>
      </w:r>
    </w:p>
    <w:p w14:paraId="7C5DAC0A" w14:textId="77777777" w:rsidR="00753B87" w:rsidRPr="001C19E7" w:rsidRDefault="00753B87" w:rsidP="00FC7CF0">
      <w:pPr>
        <w:ind w:left="1304"/>
        <w:rPr>
          <w:i/>
          <w:iCs/>
          <w:lang w:val="en-US"/>
        </w:rPr>
      </w:pPr>
    </w:p>
    <w:p w14:paraId="76210C81" w14:textId="77777777" w:rsidR="0036440D" w:rsidRPr="001C19E7" w:rsidRDefault="0036440D" w:rsidP="00FC7CF0">
      <w:pPr>
        <w:ind w:left="1304"/>
        <w:rPr>
          <w:i/>
          <w:iCs/>
          <w:lang w:val="en-US"/>
        </w:rPr>
      </w:pPr>
      <w:r w:rsidRPr="001C19E7">
        <w:rPr>
          <w:i/>
          <w:iCs/>
          <w:lang w:val="en-US"/>
        </w:rPr>
        <w:t>Microsoft also encrypts Customer Data stored at rest in Online Services and Professional Services Data stored at rest. In the case of Online Services on which Customer or a third-party acting on Customer’s behalf may build applications (e.g., certain Azure Services), encryption of data stored in such applications may be employed at the discretion of Customer, using either capabilities provided by Microsoft or obtained by Customer from third parties.”</w:t>
      </w:r>
    </w:p>
    <w:p w14:paraId="6CE9A8AC" w14:textId="77777777" w:rsidR="0036440D" w:rsidRPr="001C19E7" w:rsidRDefault="0036440D" w:rsidP="0036440D">
      <w:pPr>
        <w:pStyle w:val="ProductList-Body"/>
        <w:rPr>
          <w:lang w:val="en-US"/>
        </w:rPr>
      </w:pPr>
    </w:p>
    <w:p w14:paraId="5AF8B968" w14:textId="319AE97E" w:rsidR="0036440D" w:rsidRPr="00DC4F35" w:rsidRDefault="0036440D" w:rsidP="0036440D">
      <w:pPr>
        <w:rPr>
          <w:rFonts w:cstheme="minorHAnsi"/>
          <w:iCs/>
        </w:rPr>
      </w:pPr>
      <w:r w:rsidRPr="00DC4F35">
        <w:rPr>
          <w:rFonts w:cstheme="minorHAnsi"/>
          <w:iCs/>
        </w:rPr>
        <w:t xml:space="preserve">Microsoft </w:t>
      </w:r>
      <w:r w:rsidR="00446620" w:rsidRPr="00DC4F35">
        <w:rPr>
          <w:rFonts w:cstheme="minorHAnsi"/>
          <w:iCs/>
        </w:rPr>
        <w:t xml:space="preserve">Ireland </w:t>
      </w:r>
      <w:r w:rsidRPr="00DC4F35">
        <w:rPr>
          <w:rFonts w:cstheme="minorHAnsi"/>
          <w:iCs/>
        </w:rPr>
        <w:t>forpligter sig herved til at anvende kryptering, når der sker transmittering af Customer Data over åbne netværk samt til at kryptere Customer Data ”</w:t>
      </w:r>
      <w:proofErr w:type="spellStart"/>
      <w:r w:rsidRPr="00DC4F35">
        <w:rPr>
          <w:rFonts w:cstheme="minorHAnsi"/>
          <w:iCs/>
        </w:rPr>
        <w:t>stored</w:t>
      </w:r>
      <w:proofErr w:type="spellEnd"/>
      <w:r w:rsidRPr="00DC4F35">
        <w:rPr>
          <w:rFonts w:cstheme="minorHAnsi"/>
          <w:iCs/>
        </w:rPr>
        <w:t xml:space="preserve"> at rest”. </w:t>
      </w:r>
      <w:r w:rsidR="00B77131" w:rsidRPr="00DC4F35">
        <w:rPr>
          <w:rFonts w:cstheme="minorHAnsi"/>
          <w:iCs/>
        </w:rPr>
        <w:t>Statens It</w:t>
      </w:r>
      <w:r w:rsidR="001C3DB3" w:rsidRPr="00DC4F35">
        <w:rPr>
          <w:rFonts w:cstheme="minorHAnsi"/>
          <w:iCs/>
        </w:rPr>
        <w:t xml:space="preserve"> og Ø</w:t>
      </w:r>
      <w:r w:rsidR="00B77131" w:rsidRPr="00DC4F35">
        <w:rPr>
          <w:rFonts w:cstheme="minorHAnsi"/>
          <w:iCs/>
        </w:rPr>
        <w:t>konomistyrelsen</w:t>
      </w:r>
      <w:r w:rsidR="00AA7A1A" w:rsidRPr="00DC4F35">
        <w:rPr>
          <w:rFonts w:cstheme="minorHAnsi"/>
          <w:iCs/>
        </w:rPr>
        <w:t xml:space="preserve"> </w:t>
      </w:r>
      <w:r w:rsidR="00747F96" w:rsidRPr="00DC4F35">
        <w:rPr>
          <w:rFonts w:cstheme="minorHAnsi"/>
          <w:iCs/>
        </w:rPr>
        <w:t xml:space="preserve">kan i den forbindelse konstatere, at der benyttes TLS1,2 kryptering eller stærkere kryptering. </w:t>
      </w:r>
      <w:r w:rsidR="001318F4" w:rsidRPr="00DC4F35">
        <w:rPr>
          <w:rFonts w:cstheme="minorHAnsi"/>
          <w:iCs/>
        </w:rPr>
        <w:t xml:space="preserve">Dette er ligeledes uddybet af Microsoft </w:t>
      </w:r>
      <w:r w:rsidR="006F0C31" w:rsidRPr="00DC4F35">
        <w:rPr>
          <w:rFonts w:cstheme="minorHAnsi"/>
          <w:iCs/>
        </w:rPr>
        <w:t xml:space="preserve">Ireland </w:t>
      </w:r>
      <w:r w:rsidR="001318F4" w:rsidRPr="00DC4F35">
        <w:rPr>
          <w:rFonts w:cstheme="minorHAnsi"/>
          <w:iCs/>
        </w:rPr>
        <w:t>i forbindelse med</w:t>
      </w:r>
      <w:r w:rsidR="006F0C31" w:rsidRPr="00DC4F35">
        <w:rPr>
          <w:rFonts w:cstheme="minorHAnsi"/>
          <w:iCs/>
        </w:rPr>
        <w:t xml:space="preserve"> arbejdet med</w:t>
      </w:r>
      <w:r w:rsidR="001318F4" w:rsidRPr="00DC4F35">
        <w:rPr>
          <w:rFonts w:cstheme="minorHAnsi"/>
          <w:iCs/>
        </w:rPr>
        <w:t xml:space="preserve"> konsekvensanalysen, hvor Microsoft </w:t>
      </w:r>
      <w:r w:rsidR="006F0C31" w:rsidRPr="00DC4F35">
        <w:rPr>
          <w:rFonts w:cstheme="minorHAnsi"/>
          <w:iCs/>
        </w:rPr>
        <w:t xml:space="preserve">Ireland </w:t>
      </w:r>
      <w:r w:rsidR="001318F4" w:rsidRPr="00DC4F35">
        <w:rPr>
          <w:rFonts w:cstheme="minorHAnsi"/>
          <w:iCs/>
        </w:rPr>
        <w:t>har svaret følgende:</w:t>
      </w:r>
    </w:p>
    <w:p w14:paraId="60C047DB" w14:textId="77777777" w:rsidR="001318F4" w:rsidRPr="00DC4F35" w:rsidRDefault="001318F4" w:rsidP="0036440D">
      <w:pPr>
        <w:rPr>
          <w:rFonts w:cstheme="minorHAnsi"/>
          <w:iCs/>
        </w:rPr>
      </w:pPr>
    </w:p>
    <w:p w14:paraId="29CAD273" w14:textId="4EADE1B1" w:rsidR="001318F4" w:rsidRPr="001C19E7" w:rsidRDefault="001318F4" w:rsidP="001318F4">
      <w:pPr>
        <w:ind w:left="1304"/>
        <w:rPr>
          <w:rFonts w:cstheme="minorHAnsi"/>
          <w:i/>
          <w:iCs/>
          <w:lang w:val="en-US"/>
        </w:rPr>
      </w:pPr>
      <w:r w:rsidRPr="001C19E7">
        <w:rPr>
          <w:i/>
          <w:iCs/>
          <w:lang w:val="en-US"/>
        </w:rPr>
        <w:t xml:space="preserve">“No Customer Data is ever transmitted in ‘clear text’ by Microsoft. Transmissions of Customer Data (including the Personal Data therein) over Microsoft internal or public networks are always subject to encryption. Two distinct compounded encryption modes are in simultaneous use – TLS and </w:t>
      </w:r>
      <w:proofErr w:type="spellStart"/>
      <w:r w:rsidRPr="001C19E7">
        <w:rPr>
          <w:i/>
          <w:iCs/>
          <w:lang w:val="en-US"/>
        </w:rPr>
        <w:t>MACSec</w:t>
      </w:r>
      <w:proofErr w:type="spellEnd"/>
      <w:r w:rsidRPr="001C19E7">
        <w:rPr>
          <w:i/>
          <w:iCs/>
          <w:lang w:val="en-US"/>
        </w:rPr>
        <w:t xml:space="preserve"> (IEEE 802.1AE).”</w:t>
      </w:r>
    </w:p>
    <w:p w14:paraId="78623348" w14:textId="77777777" w:rsidR="00B77131" w:rsidRPr="001C19E7" w:rsidRDefault="00B77131" w:rsidP="0036440D">
      <w:pPr>
        <w:rPr>
          <w:rFonts w:cstheme="minorHAnsi"/>
          <w:iCs/>
          <w:lang w:val="en-US"/>
        </w:rPr>
      </w:pPr>
    </w:p>
    <w:p w14:paraId="12EDAC6A" w14:textId="23A47D28" w:rsidR="0036440D" w:rsidRPr="001C19E7" w:rsidRDefault="001318F4" w:rsidP="0036440D">
      <w:pPr>
        <w:rPr>
          <w:rFonts w:cstheme="minorHAnsi"/>
          <w:iCs/>
          <w:lang w:val="en-US"/>
        </w:rPr>
      </w:pPr>
      <w:r w:rsidRPr="001C19E7">
        <w:rPr>
          <w:rFonts w:cstheme="minorHAnsi"/>
          <w:iCs/>
          <w:lang w:val="en-US"/>
        </w:rPr>
        <w:t>Og</w:t>
      </w:r>
    </w:p>
    <w:p w14:paraId="5D1EC984" w14:textId="77777777" w:rsidR="001318F4" w:rsidRPr="001C19E7" w:rsidRDefault="001318F4" w:rsidP="0036440D">
      <w:pPr>
        <w:rPr>
          <w:rFonts w:cstheme="minorHAnsi"/>
          <w:iCs/>
          <w:lang w:val="en-US"/>
        </w:rPr>
      </w:pPr>
    </w:p>
    <w:p w14:paraId="0D587559" w14:textId="5B2432EA" w:rsidR="001318F4" w:rsidRPr="001C19E7" w:rsidRDefault="001318F4" w:rsidP="001318F4">
      <w:pPr>
        <w:ind w:left="1304"/>
        <w:rPr>
          <w:i/>
          <w:iCs/>
          <w:lang w:val="en-US"/>
        </w:rPr>
      </w:pPr>
      <w:r w:rsidRPr="001C19E7">
        <w:rPr>
          <w:i/>
          <w:iCs/>
          <w:lang w:val="en-US"/>
        </w:rPr>
        <w:t>“All personal data provided by the customer or their end users to the Microsoft 365 Online Services is stored at rest in an encrypted form, and is subject to access controls limiting access by Microsoft personnel.”</w:t>
      </w:r>
    </w:p>
    <w:p w14:paraId="7F3B202B" w14:textId="77777777" w:rsidR="001318F4" w:rsidRPr="001C19E7" w:rsidRDefault="001318F4" w:rsidP="0036440D">
      <w:pPr>
        <w:rPr>
          <w:rFonts w:cstheme="minorHAnsi"/>
          <w:iCs/>
          <w:lang w:val="en-US"/>
        </w:rPr>
      </w:pPr>
    </w:p>
    <w:p w14:paraId="42FC2BFC" w14:textId="3D2B487A" w:rsidR="0036440D" w:rsidRPr="00DC4F35" w:rsidRDefault="0036440D" w:rsidP="0036440D">
      <w:pPr>
        <w:rPr>
          <w:rFonts w:cstheme="minorHAnsi"/>
          <w:iCs/>
        </w:rPr>
      </w:pPr>
      <w:r w:rsidRPr="00DC4F35">
        <w:rPr>
          <w:rFonts w:cstheme="minorHAnsi"/>
          <w:iCs/>
        </w:rPr>
        <w:t xml:space="preserve">Det er </w:t>
      </w:r>
      <w:r w:rsidR="00274EFF" w:rsidRPr="00DC4F35">
        <w:rPr>
          <w:rFonts w:cstheme="minorHAnsi"/>
          <w:iCs/>
        </w:rPr>
        <w:t>De Dataansvarliges</w:t>
      </w:r>
      <w:r w:rsidRPr="00DC4F35">
        <w:rPr>
          <w:rFonts w:cstheme="minorHAnsi"/>
          <w:iCs/>
        </w:rPr>
        <w:t xml:space="preserve"> vurdering, at disse krypteringsforanstaltninger er med til at højne sikkerheden for behandlingen,</w:t>
      </w:r>
      <w:r w:rsidR="00D6135D" w:rsidRPr="00DC4F35">
        <w:rPr>
          <w:rFonts w:cstheme="minorHAnsi"/>
          <w:iCs/>
        </w:rPr>
        <w:t xml:space="preserve"> herunder tredjelandes adgang til oplysningerne, mens de er i transit. Person</w:t>
      </w:r>
      <w:r w:rsidRPr="00DC4F35">
        <w:rPr>
          <w:rFonts w:cstheme="minorHAnsi"/>
        </w:rPr>
        <w:t>oplysninger dekrypteres</w:t>
      </w:r>
      <w:r w:rsidR="00D6135D" w:rsidRPr="00DC4F35">
        <w:rPr>
          <w:rFonts w:cstheme="minorHAnsi"/>
        </w:rPr>
        <w:t xml:space="preserve"> dog</w:t>
      </w:r>
      <w:r w:rsidRPr="00DC4F35">
        <w:rPr>
          <w:rFonts w:cstheme="minorHAnsi"/>
        </w:rPr>
        <w:t>, når de modtages hos Microsoft, ligesom Microsoft til enhver tid kan dekryptere oplysninger</w:t>
      </w:r>
      <w:r w:rsidR="00064C9F" w:rsidRPr="00DC4F35">
        <w:rPr>
          <w:rFonts w:cstheme="minorHAnsi"/>
        </w:rPr>
        <w:t>ne</w:t>
      </w:r>
      <w:r w:rsidRPr="00DC4F35">
        <w:rPr>
          <w:rFonts w:cstheme="minorHAnsi"/>
        </w:rPr>
        <w:t xml:space="preserve"> i hvile</w:t>
      </w:r>
      <w:r w:rsidR="00064C9F" w:rsidRPr="00DC4F35">
        <w:rPr>
          <w:rFonts w:cstheme="minorHAnsi"/>
        </w:rPr>
        <w:t xml:space="preserve"> og under brug</w:t>
      </w:r>
      <w:r w:rsidRPr="00DC4F35">
        <w:rPr>
          <w:rFonts w:cstheme="minorHAnsi"/>
          <w:iCs/>
        </w:rPr>
        <w:t xml:space="preserve">. Microsoft og dennes underdatabehandlere vil på trods af de beskrevne krypteringsforanstaltninger således fortsat kunne behandle personoplysninger </w:t>
      </w:r>
      <w:r w:rsidR="00675DA4" w:rsidRPr="00DC4F35">
        <w:rPr>
          <w:rFonts w:cstheme="minorHAnsi"/>
          <w:iCs/>
        </w:rPr>
        <w:t>de</w:t>
      </w:r>
      <w:r w:rsidRPr="00DC4F35">
        <w:rPr>
          <w:rFonts w:cstheme="minorHAnsi"/>
          <w:iCs/>
        </w:rPr>
        <w:t>krypteret</w:t>
      </w:r>
      <w:r w:rsidR="00E21649" w:rsidRPr="00DC4F35">
        <w:rPr>
          <w:rFonts w:cstheme="minorHAnsi"/>
          <w:iCs/>
        </w:rPr>
        <w:t>, dvs. i klar tekst</w:t>
      </w:r>
      <w:r w:rsidRPr="00DC4F35">
        <w:rPr>
          <w:rFonts w:cstheme="minorHAnsi"/>
          <w:iCs/>
        </w:rPr>
        <w:t xml:space="preserve">. </w:t>
      </w:r>
      <w:r w:rsidR="001B5274" w:rsidRPr="00DC4F35">
        <w:rPr>
          <w:rFonts w:cstheme="minorHAnsi"/>
          <w:iCs/>
        </w:rPr>
        <w:t>De Dataansvarlige forstår dog på Microsoft, at nøglerne vil blive opbevaret inden</w:t>
      </w:r>
      <w:r w:rsidR="00AE5768" w:rsidRPr="00DC4F35">
        <w:rPr>
          <w:rFonts w:cstheme="minorHAnsi"/>
          <w:iCs/>
        </w:rPr>
        <w:t xml:space="preserve"> </w:t>
      </w:r>
      <w:r w:rsidR="001B5274" w:rsidRPr="00DC4F35">
        <w:rPr>
          <w:rFonts w:cstheme="minorHAnsi"/>
          <w:iCs/>
        </w:rPr>
        <w:t xml:space="preserve">for EU i overensstemmelse med EU Data </w:t>
      </w:r>
      <w:proofErr w:type="spellStart"/>
      <w:r w:rsidR="001B5274" w:rsidRPr="00DC4F35">
        <w:rPr>
          <w:rFonts w:cstheme="minorHAnsi"/>
          <w:iCs/>
        </w:rPr>
        <w:t>Boundary</w:t>
      </w:r>
      <w:proofErr w:type="spellEnd"/>
      <w:r w:rsidR="001B5274" w:rsidRPr="00DC4F35">
        <w:rPr>
          <w:rFonts w:cstheme="minorHAnsi"/>
          <w:iCs/>
        </w:rPr>
        <w:t xml:space="preserve"> Services, som svaret af Microsoft til brug for konsekvensanalysen:</w:t>
      </w:r>
    </w:p>
    <w:p w14:paraId="56C8FA40" w14:textId="77777777" w:rsidR="001B5274" w:rsidRPr="00DC4F35" w:rsidRDefault="001B5274" w:rsidP="0036440D">
      <w:pPr>
        <w:rPr>
          <w:rFonts w:cstheme="minorHAnsi"/>
          <w:iCs/>
        </w:rPr>
      </w:pPr>
    </w:p>
    <w:p w14:paraId="3612290B" w14:textId="77777777" w:rsidR="001B5274" w:rsidRPr="001C19E7" w:rsidRDefault="001B5274" w:rsidP="001B5274">
      <w:pPr>
        <w:ind w:left="1304"/>
        <w:rPr>
          <w:i/>
          <w:iCs/>
          <w:lang w:val="en-US"/>
        </w:rPr>
      </w:pPr>
      <w:r w:rsidRPr="001C19E7">
        <w:rPr>
          <w:i/>
          <w:iCs/>
          <w:lang w:val="en-US"/>
        </w:rPr>
        <w:t xml:space="preserve">“Where (location/locations) does Microsoft store the keys/additional information that enable Microsoft to transform pseudonymized/encrypted personal data into clear text personal data? </w:t>
      </w:r>
    </w:p>
    <w:p w14:paraId="06B31B5F" w14:textId="77777777" w:rsidR="001B5274" w:rsidRPr="001C19E7" w:rsidRDefault="001B5274" w:rsidP="001B5274">
      <w:pPr>
        <w:ind w:left="1304"/>
        <w:rPr>
          <w:i/>
          <w:iCs/>
          <w:lang w:val="en-US"/>
        </w:rPr>
      </w:pPr>
    </w:p>
    <w:p w14:paraId="152A4B6A" w14:textId="77777777" w:rsidR="001B5274" w:rsidRPr="001C19E7" w:rsidRDefault="001B5274" w:rsidP="001B5274">
      <w:pPr>
        <w:ind w:left="1304"/>
        <w:rPr>
          <w:i/>
          <w:iCs/>
          <w:lang w:val="en-US"/>
        </w:rPr>
      </w:pPr>
      <w:r w:rsidRPr="001C19E7">
        <w:rPr>
          <w:i/>
          <w:iCs/>
          <w:lang w:val="en-US"/>
        </w:rPr>
        <w:t xml:space="preserve">REPLY </w:t>
      </w:r>
    </w:p>
    <w:p w14:paraId="0026CF23" w14:textId="77777777" w:rsidR="001B5274" w:rsidRPr="001C19E7" w:rsidRDefault="001B5274" w:rsidP="001B5274">
      <w:pPr>
        <w:ind w:left="1304"/>
        <w:rPr>
          <w:i/>
          <w:iCs/>
          <w:lang w:val="en-US"/>
        </w:rPr>
      </w:pPr>
    </w:p>
    <w:p w14:paraId="52FF4825" w14:textId="46C0419A" w:rsidR="001B5274" w:rsidRPr="001C19E7" w:rsidRDefault="001B5274" w:rsidP="001B5274">
      <w:pPr>
        <w:ind w:left="1304"/>
        <w:rPr>
          <w:rFonts w:cstheme="minorHAnsi"/>
          <w:i/>
          <w:iCs/>
          <w:lang w:val="en-US"/>
        </w:rPr>
      </w:pPr>
      <w:r w:rsidRPr="001C19E7">
        <w:rPr>
          <w:i/>
          <w:iCs/>
          <w:lang w:val="en-US"/>
        </w:rPr>
        <w:t>Secrets, credentials, mapping tables (</w:t>
      </w:r>
      <w:proofErr w:type="spellStart"/>
      <w:r w:rsidRPr="001C19E7">
        <w:rPr>
          <w:i/>
          <w:iCs/>
          <w:lang w:val="en-US"/>
        </w:rPr>
        <w:t>Entra</w:t>
      </w:r>
      <w:proofErr w:type="spellEnd"/>
      <w:r w:rsidRPr="001C19E7">
        <w:rPr>
          <w:i/>
          <w:iCs/>
          <w:lang w:val="en-US"/>
        </w:rPr>
        <w:t xml:space="preserve">-ID) or any original Customer Data or Personal Data needed to re-identify System Generated Data are stored and protected subject to the controls and committed locations of Customer Data. </w:t>
      </w:r>
      <w:proofErr w:type="spellStart"/>
      <w:r w:rsidRPr="001C19E7">
        <w:rPr>
          <w:i/>
          <w:iCs/>
          <w:lang w:val="en-US"/>
        </w:rPr>
        <w:t>Entra</w:t>
      </w:r>
      <w:proofErr w:type="spellEnd"/>
      <w:r w:rsidRPr="001C19E7">
        <w:rPr>
          <w:i/>
          <w:iCs/>
          <w:lang w:val="en-US"/>
        </w:rPr>
        <w:t>-ID was added to EU Data Boundary Services last year, see link to documentation below.”</w:t>
      </w:r>
    </w:p>
    <w:p w14:paraId="5F303557" w14:textId="77777777" w:rsidR="0036440D" w:rsidRPr="001C19E7" w:rsidRDefault="0036440D" w:rsidP="0036440D">
      <w:pPr>
        <w:rPr>
          <w:rFonts w:cstheme="minorHAnsi"/>
          <w:b/>
          <w:bCs/>
          <w:iCs/>
          <w:lang w:val="en-US"/>
        </w:rPr>
      </w:pPr>
    </w:p>
    <w:p w14:paraId="577B3FCB" w14:textId="77777777" w:rsidR="0036440D" w:rsidRPr="00DC4F35" w:rsidRDefault="0036440D" w:rsidP="0036440D">
      <w:pPr>
        <w:rPr>
          <w:rFonts w:cstheme="minorHAnsi"/>
          <w:b/>
          <w:bCs/>
          <w:iCs/>
        </w:rPr>
      </w:pPr>
      <w:proofErr w:type="spellStart"/>
      <w:r w:rsidRPr="00DC4F35">
        <w:rPr>
          <w:rFonts w:cstheme="minorHAnsi"/>
          <w:b/>
          <w:bCs/>
          <w:iCs/>
        </w:rPr>
        <w:t>Pseudonymisering</w:t>
      </w:r>
      <w:proofErr w:type="spellEnd"/>
      <w:r w:rsidRPr="00DC4F35">
        <w:rPr>
          <w:rFonts w:cstheme="minorHAnsi"/>
          <w:b/>
          <w:bCs/>
          <w:iCs/>
        </w:rPr>
        <w:t xml:space="preserve"> </w:t>
      </w:r>
    </w:p>
    <w:p w14:paraId="0B05E131" w14:textId="080E603F" w:rsidR="007C6C71" w:rsidRPr="00DC4F35" w:rsidRDefault="0036440D" w:rsidP="0036440D">
      <w:pPr>
        <w:rPr>
          <w:lang w:eastAsia="da-DK"/>
        </w:rPr>
      </w:pPr>
      <w:r w:rsidRPr="00DC4F35">
        <w:rPr>
          <w:rFonts w:cstheme="minorHAnsi"/>
          <w:iCs/>
        </w:rPr>
        <w:t xml:space="preserve">Microsoft </w:t>
      </w:r>
      <w:r w:rsidR="00A614A7" w:rsidRPr="00DC4F35">
        <w:rPr>
          <w:rFonts w:cstheme="minorHAnsi"/>
          <w:iCs/>
        </w:rPr>
        <w:t xml:space="preserve">Ireland </w:t>
      </w:r>
      <w:r w:rsidRPr="00DC4F35">
        <w:rPr>
          <w:rFonts w:cstheme="minorHAnsi"/>
          <w:iCs/>
        </w:rPr>
        <w:t xml:space="preserve">angiver i </w:t>
      </w:r>
      <w:r w:rsidR="000B1A6F" w:rsidRPr="00DC4F35">
        <w:t xml:space="preserve">EU Data </w:t>
      </w:r>
      <w:proofErr w:type="spellStart"/>
      <w:r w:rsidR="000B1A6F" w:rsidRPr="00DC4F35">
        <w:t>Boundary</w:t>
      </w:r>
      <w:proofErr w:type="spellEnd"/>
      <w:r w:rsidR="000B1A6F" w:rsidRPr="00DC4F35">
        <w:t xml:space="preserve"> </w:t>
      </w:r>
      <w:r w:rsidRPr="00DC4F35">
        <w:rPr>
          <w:rFonts w:cstheme="minorHAnsi"/>
        </w:rPr>
        <w:t>do</w:t>
      </w:r>
      <w:r w:rsidR="000B1A6F" w:rsidRPr="00DC4F35">
        <w:rPr>
          <w:rFonts w:cstheme="minorHAnsi"/>
        </w:rPr>
        <w:t>k</w:t>
      </w:r>
      <w:r w:rsidRPr="00DC4F35">
        <w:rPr>
          <w:rFonts w:cstheme="minorHAnsi"/>
        </w:rPr>
        <w:t>umentation</w:t>
      </w:r>
      <w:r w:rsidR="00661835" w:rsidRPr="00DC4F35">
        <w:rPr>
          <w:rFonts w:cstheme="minorHAnsi"/>
        </w:rPr>
        <w:t>en</w:t>
      </w:r>
      <w:r w:rsidRPr="00DC4F35">
        <w:rPr>
          <w:rFonts w:cstheme="minorHAnsi"/>
        </w:rPr>
        <w:t xml:space="preserve"> vedrørende EU Data </w:t>
      </w:r>
      <w:proofErr w:type="spellStart"/>
      <w:r w:rsidRPr="00DC4F35">
        <w:rPr>
          <w:rFonts w:cstheme="minorHAnsi"/>
        </w:rPr>
        <w:t>Boundary</w:t>
      </w:r>
      <w:proofErr w:type="spellEnd"/>
      <w:r w:rsidRPr="00DC4F35">
        <w:rPr>
          <w:rFonts w:cstheme="minorHAnsi"/>
          <w:iCs/>
        </w:rPr>
        <w:t xml:space="preserve">, at personoplysninger i </w:t>
      </w:r>
      <w:r w:rsidR="00255B0F" w:rsidRPr="00DC4F35">
        <w:rPr>
          <w:lang w:eastAsia="da-DK"/>
        </w:rPr>
        <w:t>s</w:t>
      </w:r>
      <w:r w:rsidRPr="00DC4F35">
        <w:rPr>
          <w:lang w:eastAsia="da-DK"/>
        </w:rPr>
        <w:t>ystem-</w:t>
      </w:r>
      <w:proofErr w:type="spellStart"/>
      <w:r w:rsidR="00255B0F" w:rsidRPr="00DC4F35">
        <w:rPr>
          <w:lang w:eastAsia="da-DK"/>
        </w:rPr>
        <w:t>g</w:t>
      </w:r>
      <w:r w:rsidRPr="00DC4F35">
        <w:rPr>
          <w:lang w:eastAsia="da-DK"/>
        </w:rPr>
        <w:t>enerated</w:t>
      </w:r>
      <w:proofErr w:type="spellEnd"/>
      <w:r w:rsidRPr="00DC4F35">
        <w:rPr>
          <w:lang w:eastAsia="da-DK"/>
        </w:rPr>
        <w:t xml:space="preserve"> </w:t>
      </w:r>
      <w:r w:rsidR="00255B0F" w:rsidRPr="00DC4F35">
        <w:rPr>
          <w:lang w:eastAsia="da-DK"/>
        </w:rPr>
        <w:t>l</w:t>
      </w:r>
      <w:r w:rsidRPr="00DC4F35">
        <w:rPr>
          <w:lang w:eastAsia="da-DK"/>
        </w:rPr>
        <w:t xml:space="preserve">ogs (brugsoplysninger, herunder aktivitetslogs), </w:t>
      </w:r>
      <w:proofErr w:type="spellStart"/>
      <w:r w:rsidRPr="00DC4F35">
        <w:rPr>
          <w:lang w:eastAsia="da-DK"/>
        </w:rPr>
        <w:t>pseudonymiseres</w:t>
      </w:r>
      <w:proofErr w:type="spellEnd"/>
      <w:r w:rsidRPr="00DC4F35">
        <w:rPr>
          <w:lang w:eastAsia="da-DK"/>
        </w:rPr>
        <w:t xml:space="preserve">. </w:t>
      </w:r>
      <w:r w:rsidR="0041523F" w:rsidRPr="00DC4F35">
        <w:rPr>
          <w:lang w:eastAsia="da-DK"/>
        </w:rPr>
        <w:t xml:space="preserve">Det fremgår således også af </w:t>
      </w:r>
      <w:r w:rsidR="00A73930" w:rsidRPr="00DC4F35">
        <w:rPr>
          <w:lang w:eastAsia="da-DK"/>
        </w:rPr>
        <w:t>Microsoft</w:t>
      </w:r>
      <w:r w:rsidR="00661835" w:rsidRPr="00DC4F35">
        <w:rPr>
          <w:lang w:eastAsia="da-DK"/>
        </w:rPr>
        <w:t xml:space="preserve"> Irelands</w:t>
      </w:r>
      <w:r w:rsidR="00A73930" w:rsidRPr="00DC4F35">
        <w:rPr>
          <w:lang w:eastAsia="da-DK"/>
        </w:rPr>
        <w:t xml:space="preserve"> </w:t>
      </w:r>
      <w:r w:rsidR="0041523F" w:rsidRPr="00DC4F35">
        <w:rPr>
          <w:lang w:eastAsia="da-DK"/>
        </w:rPr>
        <w:t>Produkt Terms</w:t>
      </w:r>
      <w:r w:rsidR="00661835" w:rsidRPr="00DC4F35">
        <w:rPr>
          <w:lang w:eastAsia="da-DK"/>
        </w:rPr>
        <w:t>,</w:t>
      </w:r>
      <w:r w:rsidR="0041523F" w:rsidRPr="00DC4F35">
        <w:rPr>
          <w:lang w:eastAsia="da-DK"/>
        </w:rPr>
        <w:t xml:space="preserve"> side </w:t>
      </w:r>
      <w:r w:rsidR="00A73930" w:rsidRPr="00DC4F35">
        <w:rPr>
          <w:lang w:eastAsia="da-DK"/>
        </w:rPr>
        <w:t xml:space="preserve">10 ”Data Flows Business Operations </w:t>
      </w:r>
      <w:proofErr w:type="spellStart"/>
      <w:r w:rsidR="00A73930" w:rsidRPr="00DC4F35">
        <w:rPr>
          <w:lang w:eastAsia="da-DK"/>
        </w:rPr>
        <w:t>Schematic</w:t>
      </w:r>
      <w:proofErr w:type="spellEnd"/>
      <w:r w:rsidR="00A73930" w:rsidRPr="00DC4F35">
        <w:rPr>
          <w:lang w:eastAsia="da-DK"/>
        </w:rPr>
        <w:t xml:space="preserve"> overview”</w:t>
      </w:r>
      <w:r w:rsidR="0041523F" w:rsidRPr="00DC4F35">
        <w:rPr>
          <w:lang w:eastAsia="da-DK"/>
        </w:rPr>
        <w:t xml:space="preserve">, hvor det ses, at </w:t>
      </w:r>
      <w:r w:rsidR="00A73930" w:rsidRPr="00DC4F35">
        <w:rPr>
          <w:lang w:eastAsia="da-DK"/>
        </w:rPr>
        <w:t>System-</w:t>
      </w:r>
      <w:proofErr w:type="spellStart"/>
      <w:r w:rsidR="00A73930" w:rsidRPr="00DC4F35">
        <w:rPr>
          <w:lang w:eastAsia="da-DK"/>
        </w:rPr>
        <w:t>Generated</w:t>
      </w:r>
      <w:proofErr w:type="spellEnd"/>
      <w:r w:rsidR="00A73930" w:rsidRPr="00DC4F35">
        <w:rPr>
          <w:lang w:eastAsia="da-DK"/>
        </w:rPr>
        <w:t xml:space="preserve"> Logs i forbindelse med genereringen som udgangspunkt </w:t>
      </w:r>
      <w:proofErr w:type="spellStart"/>
      <w:r w:rsidR="00A73930" w:rsidRPr="00DC4F35">
        <w:rPr>
          <w:lang w:eastAsia="da-DK"/>
        </w:rPr>
        <w:t>pseudonymiseres</w:t>
      </w:r>
      <w:proofErr w:type="spellEnd"/>
      <w:r w:rsidR="003D1A8C" w:rsidRPr="00DC4F35">
        <w:rPr>
          <w:lang w:eastAsia="da-DK"/>
        </w:rPr>
        <w:t>,</w:t>
      </w:r>
      <w:r w:rsidR="00A73930" w:rsidRPr="00DC4F35">
        <w:rPr>
          <w:lang w:eastAsia="da-DK"/>
        </w:rPr>
        <w:t xml:space="preserve"> men samtidig undergår en proces</w:t>
      </w:r>
      <w:r w:rsidR="00661835" w:rsidRPr="00DC4F35">
        <w:rPr>
          <w:lang w:eastAsia="da-DK"/>
        </w:rPr>
        <w:t>,</w:t>
      </w:r>
      <w:r w:rsidR="00A73930" w:rsidRPr="00DC4F35">
        <w:rPr>
          <w:lang w:eastAsia="da-DK"/>
        </w:rPr>
        <w:t xml:space="preserve"> der sikrer</w:t>
      </w:r>
      <w:r w:rsidR="003D1A8C" w:rsidRPr="00DC4F35">
        <w:rPr>
          <w:lang w:eastAsia="da-DK"/>
        </w:rPr>
        <w:t>,</w:t>
      </w:r>
      <w:r w:rsidR="00A73930" w:rsidRPr="00DC4F35">
        <w:rPr>
          <w:lang w:eastAsia="da-DK"/>
        </w:rPr>
        <w:t xml:space="preserve"> at eventuelle tilbageværende personoplysninger, der ikke blev </w:t>
      </w:r>
      <w:proofErr w:type="spellStart"/>
      <w:r w:rsidR="00A73930" w:rsidRPr="00DC4F35">
        <w:rPr>
          <w:lang w:eastAsia="da-DK"/>
        </w:rPr>
        <w:t>pseudonymiseret</w:t>
      </w:r>
      <w:proofErr w:type="spellEnd"/>
      <w:r w:rsidR="003D1A8C" w:rsidRPr="00DC4F35">
        <w:rPr>
          <w:lang w:eastAsia="da-DK"/>
        </w:rPr>
        <w:t>,</w:t>
      </w:r>
      <w:r w:rsidR="00A73930" w:rsidRPr="00DC4F35">
        <w:rPr>
          <w:lang w:eastAsia="da-DK"/>
        </w:rPr>
        <w:t xml:space="preserve"> bliver det. Ligeledes vil </w:t>
      </w:r>
      <w:proofErr w:type="spellStart"/>
      <w:r w:rsidR="00A73930" w:rsidRPr="00DC4F35">
        <w:rPr>
          <w:lang w:eastAsia="da-DK"/>
        </w:rPr>
        <w:t>Diagnostic</w:t>
      </w:r>
      <w:proofErr w:type="spellEnd"/>
      <w:r w:rsidR="00A73930" w:rsidRPr="00DC4F35">
        <w:rPr>
          <w:lang w:eastAsia="da-DK"/>
        </w:rPr>
        <w:t xml:space="preserve"> Data enten ikke indeholde personoplysninger</w:t>
      </w:r>
      <w:r w:rsidR="003D1A8C" w:rsidRPr="00DC4F35">
        <w:rPr>
          <w:lang w:eastAsia="da-DK"/>
        </w:rPr>
        <w:t>,</w:t>
      </w:r>
      <w:r w:rsidR="00A73930" w:rsidRPr="00DC4F35">
        <w:rPr>
          <w:lang w:eastAsia="da-DK"/>
        </w:rPr>
        <w:t xml:space="preserve"> eller også vil personoplysninger være </w:t>
      </w:r>
      <w:proofErr w:type="spellStart"/>
      <w:r w:rsidR="00A73930" w:rsidRPr="00DC4F35">
        <w:rPr>
          <w:lang w:eastAsia="da-DK"/>
        </w:rPr>
        <w:t>pseudonymiseret</w:t>
      </w:r>
      <w:proofErr w:type="spellEnd"/>
      <w:r w:rsidR="00A73930" w:rsidRPr="00DC4F35">
        <w:rPr>
          <w:lang w:eastAsia="da-DK"/>
        </w:rPr>
        <w:t xml:space="preserve"> </w:t>
      </w:r>
      <w:r w:rsidR="00A73930" w:rsidRPr="00DC4F35">
        <w:t>(”</w:t>
      </w:r>
      <w:proofErr w:type="spellStart"/>
      <w:r w:rsidR="00A73930" w:rsidRPr="00DC4F35">
        <w:t>pseudonymous</w:t>
      </w:r>
      <w:proofErr w:type="spellEnd"/>
      <w:r w:rsidR="00A73930" w:rsidRPr="00DC4F35">
        <w:t xml:space="preserve"> </w:t>
      </w:r>
      <w:proofErr w:type="spellStart"/>
      <w:r w:rsidR="00A73930" w:rsidRPr="00DC4F35">
        <w:t>identifiers</w:t>
      </w:r>
      <w:proofErr w:type="spellEnd"/>
      <w:r w:rsidR="00A73930" w:rsidRPr="00DC4F35">
        <w:t>”)</w:t>
      </w:r>
      <w:r w:rsidR="00661835" w:rsidRPr="00DC4F35">
        <w:t>.</w:t>
      </w:r>
      <w:r w:rsidR="00A73930" w:rsidRPr="00DC4F35">
        <w:rPr>
          <w:vertAlign w:val="superscript"/>
        </w:rPr>
        <w:footnoteReference w:id="38"/>
      </w:r>
      <w:r w:rsidR="00A73930" w:rsidRPr="00DC4F35">
        <w:rPr>
          <w:lang w:eastAsia="da-DK"/>
        </w:rPr>
        <w:t xml:space="preserve"> </w:t>
      </w:r>
      <w:r w:rsidR="0041523F" w:rsidRPr="00DC4F35">
        <w:rPr>
          <w:lang w:eastAsia="da-DK"/>
        </w:rPr>
        <w:t xml:space="preserve"> </w:t>
      </w:r>
    </w:p>
    <w:p w14:paraId="47F8A642" w14:textId="77777777" w:rsidR="007C6C71" w:rsidRPr="00DC4F35" w:rsidRDefault="007C6C71" w:rsidP="0036440D">
      <w:pPr>
        <w:rPr>
          <w:lang w:eastAsia="da-DK"/>
        </w:rPr>
      </w:pPr>
    </w:p>
    <w:p w14:paraId="2E4B2BE2" w14:textId="3DE1C807" w:rsidR="0036440D" w:rsidRPr="00DC4F35" w:rsidRDefault="0041523F" w:rsidP="0036440D">
      <w:pPr>
        <w:rPr>
          <w:lang w:eastAsia="da-DK"/>
        </w:rPr>
      </w:pPr>
      <w:r w:rsidRPr="00DC4F35">
        <w:rPr>
          <w:lang w:eastAsia="da-DK"/>
        </w:rPr>
        <w:t xml:space="preserve">Ligeledes </w:t>
      </w:r>
      <w:r w:rsidR="00661835" w:rsidRPr="00DC4F35">
        <w:rPr>
          <w:lang w:eastAsia="da-DK"/>
        </w:rPr>
        <w:t>har</w:t>
      </w:r>
      <w:r w:rsidRPr="00DC4F35">
        <w:rPr>
          <w:lang w:eastAsia="da-DK"/>
        </w:rPr>
        <w:t xml:space="preserve"> Microsoft oplyst</w:t>
      </w:r>
      <w:r w:rsidR="00661835" w:rsidRPr="00DC4F35">
        <w:rPr>
          <w:lang w:eastAsia="da-DK"/>
        </w:rPr>
        <w:t xml:space="preserve"> følgende</w:t>
      </w:r>
      <w:r w:rsidRPr="00DC4F35">
        <w:rPr>
          <w:lang w:eastAsia="da-DK"/>
        </w:rPr>
        <w:t xml:space="preserve"> i forbindelse med spørgsmål til brug for konsekvensanalysen</w:t>
      </w:r>
      <w:r w:rsidR="00661835" w:rsidRPr="00DC4F35">
        <w:rPr>
          <w:lang w:eastAsia="da-DK"/>
        </w:rPr>
        <w:t>:</w:t>
      </w:r>
    </w:p>
    <w:p w14:paraId="3E599827" w14:textId="77777777" w:rsidR="00F65D93" w:rsidRPr="00DC4F35" w:rsidRDefault="00F65D93" w:rsidP="0036440D">
      <w:pPr>
        <w:rPr>
          <w:lang w:eastAsia="da-DK"/>
        </w:rPr>
      </w:pPr>
    </w:p>
    <w:p w14:paraId="374A521E" w14:textId="78B3F450" w:rsidR="00F65D93" w:rsidRPr="001C19E7" w:rsidRDefault="00F65D93" w:rsidP="00F65D93">
      <w:pPr>
        <w:ind w:left="1304"/>
        <w:rPr>
          <w:i/>
          <w:iCs/>
          <w:lang w:val="en-US"/>
        </w:rPr>
      </w:pPr>
      <w:r w:rsidRPr="001C19E7">
        <w:rPr>
          <w:i/>
          <w:iCs/>
          <w:lang w:val="en-US"/>
        </w:rPr>
        <w:t>“There are no elements of provided personal information (Customer Data (1)) in this data. Since this data category is examined by engineers using tools to do their work monitoring the cloud services, then to achieve privacy by design we do not allow any personal data attributes that the customer has provided to be in records of this data type; instead, Microsoft generates pseudonymized tokens as necessary to maintain the required factual records.</w:t>
      </w:r>
    </w:p>
    <w:p w14:paraId="456D0C24" w14:textId="77777777" w:rsidR="00F65D93" w:rsidRPr="001C19E7" w:rsidRDefault="00F65D93" w:rsidP="00F65D93">
      <w:pPr>
        <w:ind w:left="1304"/>
        <w:rPr>
          <w:i/>
          <w:iCs/>
          <w:lang w:val="en-US"/>
        </w:rPr>
      </w:pPr>
    </w:p>
    <w:p w14:paraId="1CA4B062" w14:textId="534AD400" w:rsidR="00F65D93" w:rsidRPr="00C83C91" w:rsidRDefault="00F65D93" w:rsidP="00F65D93">
      <w:pPr>
        <w:ind w:left="1304"/>
        <w:rPr>
          <w:i/>
          <w:iCs/>
          <w:lang w:val="en-US"/>
        </w:rPr>
      </w:pPr>
      <w:r w:rsidRPr="00C83C91">
        <w:rPr>
          <w:i/>
          <w:iCs/>
          <w:lang w:val="en-US"/>
        </w:rPr>
        <w:t>[…]</w:t>
      </w:r>
    </w:p>
    <w:p w14:paraId="56C28D08" w14:textId="77777777" w:rsidR="00F65D93" w:rsidRPr="00C83C91" w:rsidRDefault="00F65D93" w:rsidP="00F65D93">
      <w:pPr>
        <w:ind w:left="1304"/>
        <w:rPr>
          <w:i/>
          <w:iCs/>
          <w:lang w:val="en-US"/>
        </w:rPr>
      </w:pPr>
    </w:p>
    <w:p w14:paraId="543B11C2" w14:textId="77777777" w:rsidR="00B62EDC" w:rsidRPr="001C19E7" w:rsidRDefault="00B62EDC" w:rsidP="00F65D93">
      <w:pPr>
        <w:ind w:left="1304"/>
        <w:rPr>
          <w:i/>
          <w:iCs/>
          <w:lang w:val="en-US"/>
        </w:rPr>
      </w:pPr>
      <w:r w:rsidRPr="001C19E7">
        <w:rPr>
          <w:i/>
          <w:iCs/>
          <w:lang w:val="en-US"/>
        </w:rPr>
        <w:t xml:space="preserve">Service Generated Data (2) and Diagnostic Data (3) are not permitted to hold any customer provided personal data attributes. This data is used by Microsoft engineers so it must be private by design. It only holds pointers, tokens or identifiers that reference the user associated with the activity being logged (2) or the use of the software product (3). Whenever documentation at Microsoft explains that pseudonymous personal data is being used or transferred by Microsoft, the documentation is referring to the data in these two categories. </w:t>
      </w:r>
    </w:p>
    <w:p w14:paraId="1E0438B7" w14:textId="77777777" w:rsidR="00B62EDC" w:rsidRPr="001C19E7" w:rsidRDefault="00B62EDC" w:rsidP="00F65D93">
      <w:pPr>
        <w:ind w:left="1304"/>
        <w:rPr>
          <w:i/>
          <w:iCs/>
          <w:lang w:val="en-US"/>
        </w:rPr>
      </w:pPr>
    </w:p>
    <w:p w14:paraId="78D722B4" w14:textId="1782A8C5" w:rsidR="00F65D93" w:rsidRPr="001C19E7" w:rsidRDefault="00B62EDC" w:rsidP="00F65D93">
      <w:pPr>
        <w:ind w:left="1304"/>
        <w:rPr>
          <w:i/>
          <w:iCs/>
          <w:lang w:val="en-US" w:eastAsia="da-DK"/>
        </w:rPr>
      </w:pPr>
      <w:r w:rsidRPr="001C19E7">
        <w:rPr>
          <w:i/>
          <w:iCs/>
          <w:lang w:val="en-US"/>
        </w:rPr>
        <w:t>Processing activities performed by Microsoft to provide the service to the customer do not target any specific customer. They are always performed across the body of the relevant data in the cloud services that are used by multiple customers at the same time.”</w:t>
      </w:r>
    </w:p>
    <w:p w14:paraId="14DF4E7A" w14:textId="77777777" w:rsidR="0036440D" w:rsidRPr="001C19E7" w:rsidRDefault="0036440D" w:rsidP="0036440D">
      <w:pPr>
        <w:rPr>
          <w:lang w:val="en-US" w:eastAsia="da-DK"/>
        </w:rPr>
      </w:pPr>
    </w:p>
    <w:p w14:paraId="17E69B76" w14:textId="7C36DF26" w:rsidR="003B7F13" w:rsidRPr="00DC4F35" w:rsidRDefault="003B7F13" w:rsidP="0036440D">
      <w:pPr>
        <w:rPr>
          <w:lang w:eastAsia="da-DK"/>
        </w:rPr>
      </w:pPr>
      <w:r w:rsidRPr="00DC4F35">
        <w:rPr>
          <w:lang w:eastAsia="da-DK"/>
        </w:rPr>
        <w:t>Det er desuden uddybet at:</w:t>
      </w:r>
    </w:p>
    <w:p w14:paraId="23FB8875" w14:textId="77777777" w:rsidR="003B7F13" w:rsidRPr="00DC4F35" w:rsidRDefault="003B7F13" w:rsidP="0036440D">
      <w:pPr>
        <w:rPr>
          <w:lang w:eastAsia="da-DK"/>
        </w:rPr>
      </w:pPr>
    </w:p>
    <w:p w14:paraId="6DFE8963" w14:textId="33B97E8B" w:rsidR="003B7F13" w:rsidRPr="001C19E7" w:rsidRDefault="003B7F13" w:rsidP="003B7F13">
      <w:pPr>
        <w:ind w:left="1304"/>
        <w:rPr>
          <w:i/>
          <w:iCs/>
          <w:lang w:val="en-US"/>
        </w:rPr>
      </w:pPr>
      <w:r w:rsidRPr="001C19E7">
        <w:rPr>
          <w:i/>
          <w:iCs/>
          <w:lang w:val="en-US"/>
        </w:rPr>
        <w:t xml:space="preserve">“The user personal data in the service logging maps to the record of that user that customer has put in the service. </w:t>
      </w:r>
    </w:p>
    <w:p w14:paraId="1199F8E9" w14:textId="77777777" w:rsidR="003B7F13" w:rsidRPr="001C19E7" w:rsidRDefault="003B7F13" w:rsidP="003B7F13">
      <w:pPr>
        <w:ind w:left="1304"/>
        <w:rPr>
          <w:i/>
          <w:iCs/>
          <w:lang w:val="en-US"/>
        </w:rPr>
      </w:pPr>
    </w:p>
    <w:p w14:paraId="13D8E8E9" w14:textId="77777777" w:rsidR="003B7F13" w:rsidRPr="001C19E7" w:rsidRDefault="003B7F13" w:rsidP="003B7F13">
      <w:pPr>
        <w:ind w:left="1304"/>
        <w:rPr>
          <w:i/>
          <w:iCs/>
          <w:lang w:val="en-US"/>
        </w:rPr>
      </w:pPr>
      <w:r w:rsidRPr="001C19E7">
        <w:rPr>
          <w:i/>
          <w:iCs/>
          <w:lang w:val="en-US"/>
        </w:rPr>
        <w:t xml:space="preserve">Engineers in Online Services have to consult system logs as part of the normal course of their duties. Because the logs need to be the factual record of user activity, the logs use a “privacy by design” approach that ensures no directly identifiable information about a user is stored in them. Engineers have no need to know this information in the normal performance of their duties. Nonetheless, the tokens substituted to reference the user activity in the log (“pseudonymization”) are personal data and the remote viewing of these logs by engineers amounts to a “transfer of personal data” under the GDPR. Note that this transfer results in no permanent relocation or copy of any personal data. </w:t>
      </w:r>
    </w:p>
    <w:p w14:paraId="5D652510" w14:textId="77777777" w:rsidR="003B7F13" w:rsidRPr="001C19E7" w:rsidRDefault="003B7F13" w:rsidP="003B7F13">
      <w:pPr>
        <w:ind w:left="1304"/>
        <w:rPr>
          <w:i/>
          <w:iCs/>
          <w:lang w:val="en-US"/>
        </w:rPr>
      </w:pPr>
    </w:p>
    <w:p w14:paraId="44EA80CC" w14:textId="09683008" w:rsidR="003B7F13" w:rsidRPr="00C83C91" w:rsidRDefault="00487419" w:rsidP="003B7F13">
      <w:pPr>
        <w:ind w:left="1304"/>
        <w:rPr>
          <w:i/>
          <w:iCs/>
          <w:lang w:val="en-US"/>
        </w:rPr>
      </w:pPr>
      <w:r w:rsidRPr="00C83C91">
        <w:rPr>
          <w:i/>
          <w:iCs/>
          <w:lang w:val="en-US"/>
        </w:rPr>
        <w:t>[…]</w:t>
      </w:r>
    </w:p>
    <w:p w14:paraId="1DAC3DB9" w14:textId="77777777" w:rsidR="00487419" w:rsidRPr="00C83C91" w:rsidRDefault="00487419" w:rsidP="003B7F13">
      <w:pPr>
        <w:ind w:left="1304"/>
        <w:rPr>
          <w:i/>
          <w:iCs/>
          <w:lang w:val="en-US"/>
        </w:rPr>
      </w:pPr>
    </w:p>
    <w:p w14:paraId="5E1D829F" w14:textId="06BCA00E" w:rsidR="003B7F13" w:rsidRPr="001C19E7" w:rsidRDefault="003B7F13" w:rsidP="003B7F13">
      <w:pPr>
        <w:ind w:left="1304"/>
        <w:rPr>
          <w:i/>
          <w:iCs/>
          <w:lang w:val="en-US"/>
        </w:rPr>
      </w:pPr>
      <w:r w:rsidRPr="001C19E7">
        <w:rPr>
          <w:i/>
          <w:iCs/>
          <w:lang w:val="en-US"/>
        </w:rPr>
        <w:t xml:space="preserve">The practical way to assess risks associated with engineers reviewing logs remotely is to consider the nature of the logs (pseudonymized personal data only) and the factors that drive them to be </w:t>
      </w:r>
      <w:proofErr w:type="spellStart"/>
      <w:r w:rsidRPr="001C19E7">
        <w:rPr>
          <w:i/>
          <w:iCs/>
          <w:lang w:val="en-US"/>
        </w:rPr>
        <w:t>i</w:t>
      </w:r>
      <w:proofErr w:type="spellEnd"/>
      <w:r w:rsidRPr="001C19E7">
        <w:rPr>
          <w:i/>
          <w:iCs/>
          <w:lang w:val="en-US"/>
        </w:rPr>
        <w:t xml:space="preserve">) created (user activity) and ii) to be transferred (real-time engineering operations). </w:t>
      </w:r>
      <w:r w:rsidR="006241C4" w:rsidRPr="001C19E7">
        <w:rPr>
          <w:i/>
          <w:iCs/>
          <w:lang w:val="en-US"/>
        </w:rPr>
        <w:t>[…]</w:t>
      </w:r>
      <w:r w:rsidRPr="001C19E7">
        <w:rPr>
          <w:i/>
          <w:iCs/>
          <w:lang w:val="en-US"/>
        </w:rPr>
        <w:t xml:space="preserve"> The records themselves, and especially the pseudonymous tokens representing a customer user, are useless outside of the context of an engineer familiar with Microsoft service internals who is looking at a log record in an internal Microsoft tool. In many cases, enabling logs to be interpreted in a broader context would weaken the security posture of the service. For the European Union Data Boundary commitment, Microsoft implemented a new internal log storage solution that stores Microsoft logs at rest only within the countries of the EU and EFTA.</w:t>
      </w:r>
    </w:p>
    <w:p w14:paraId="293DF207" w14:textId="77777777" w:rsidR="003B7F13" w:rsidRPr="001C19E7" w:rsidRDefault="003B7F13" w:rsidP="003B7F13">
      <w:pPr>
        <w:ind w:left="1304"/>
        <w:rPr>
          <w:i/>
          <w:iCs/>
          <w:lang w:val="en-US"/>
        </w:rPr>
      </w:pPr>
    </w:p>
    <w:p w14:paraId="282C2D36" w14:textId="64CA9DB9" w:rsidR="003B7F13" w:rsidRPr="001C19E7" w:rsidRDefault="003B7F13" w:rsidP="003B7F13">
      <w:pPr>
        <w:ind w:left="1304"/>
        <w:rPr>
          <w:i/>
          <w:iCs/>
          <w:lang w:val="en-US"/>
        </w:rPr>
      </w:pPr>
      <w:r w:rsidRPr="001C19E7">
        <w:rPr>
          <w:i/>
          <w:iCs/>
          <w:lang w:val="en-US"/>
        </w:rPr>
        <w:t>[…]</w:t>
      </w:r>
    </w:p>
    <w:p w14:paraId="5FACAFB4" w14:textId="77777777" w:rsidR="003B7F13" w:rsidRPr="001C19E7" w:rsidRDefault="003B7F13" w:rsidP="003B7F13">
      <w:pPr>
        <w:ind w:left="1304"/>
        <w:rPr>
          <w:i/>
          <w:iCs/>
          <w:lang w:val="en-US"/>
        </w:rPr>
      </w:pPr>
    </w:p>
    <w:p w14:paraId="7802E79E" w14:textId="7FB8876C" w:rsidR="006241C4" w:rsidRPr="001C19E7" w:rsidRDefault="003B7F13" w:rsidP="006241C4">
      <w:pPr>
        <w:ind w:left="1304"/>
        <w:rPr>
          <w:i/>
          <w:iCs/>
          <w:lang w:val="en-US"/>
        </w:rPr>
      </w:pPr>
      <w:r w:rsidRPr="001C19E7">
        <w:rPr>
          <w:i/>
          <w:iCs/>
          <w:lang w:val="en-US"/>
        </w:rPr>
        <w:t xml:space="preserve">No directly identifiable info is permitted in Diagnostic Data - No email, or other human readable personal data. There are tokens/pseudonyms for the user that is logged on. Other Personal Data tokens here may include </w:t>
      </w:r>
      <w:proofErr w:type="gramStart"/>
      <w:r w:rsidRPr="001C19E7">
        <w:rPr>
          <w:i/>
          <w:iCs/>
          <w:lang w:val="en-US"/>
        </w:rPr>
        <w:t>an</w:t>
      </w:r>
      <w:proofErr w:type="gramEnd"/>
      <w:r w:rsidRPr="001C19E7">
        <w:rPr>
          <w:i/>
          <w:iCs/>
          <w:lang w:val="en-US"/>
        </w:rPr>
        <w:t xml:space="preserve"> software build or instance ID that is unique to the build, and IP addresses and other similar system information. </w:t>
      </w:r>
      <w:r w:rsidR="006241C4" w:rsidRPr="001C19E7">
        <w:rPr>
          <w:i/>
          <w:iCs/>
          <w:lang w:val="en-US"/>
        </w:rPr>
        <w:t>[…]</w:t>
      </w:r>
    </w:p>
    <w:p w14:paraId="055B9694" w14:textId="77777777" w:rsidR="006241C4" w:rsidRPr="001C19E7" w:rsidRDefault="006241C4" w:rsidP="006241C4">
      <w:pPr>
        <w:ind w:left="1304"/>
        <w:rPr>
          <w:i/>
          <w:iCs/>
          <w:lang w:val="en-US"/>
        </w:rPr>
      </w:pPr>
    </w:p>
    <w:p w14:paraId="20CD9327" w14:textId="1E949DFD" w:rsidR="003B7F13" w:rsidRPr="001C19E7" w:rsidRDefault="003B7F13" w:rsidP="003B7F13">
      <w:pPr>
        <w:ind w:left="1304"/>
        <w:rPr>
          <w:i/>
          <w:iCs/>
          <w:lang w:val="en-US"/>
        </w:rPr>
      </w:pPr>
      <w:r w:rsidRPr="001C19E7">
        <w:rPr>
          <w:i/>
          <w:iCs/>
          <w:lang w:val="en-US"/>
        </w:rPr>
        <w:t>Some of the pseudonymous tokens may refer to items sufficiently unique as to be attributable to a specific user (</w:t>
      </w:r>
      <w:proofErr w:type="gramStart"/>
      <w:r w:rsidRPr="001C19E7">
        <w:rPr>
          <w:i/>
          <w:iCs/>
          <w:lang w:val="en-US"/>
        </w:rPr>
        <w:t>e.g.</w:t>
      </w:r>
      <w:proofErr w:type="gramEnd"/>
      <w:r w:rsidRPr="001C19E7">
        <w:rPr>
          <w:i/>
          <w:iCs/>
          <w:lang w:val="en-US"/>
        </w:rPr>
        <w:t xml:space="preserve"> MS Word installation ID) and others may clearly be pertaining to a </w:t>
      </w:r>
      <w:r w:rsidRPr="001C19E7">
        <w:rPr>
          <w:i/>
          <w:iCs/>
          <w:lang w:val="en-US"/>
        </w:rPr>
        <w:lastRenderedPageBreak/>
        <w:t>specific user (e.g. a token that uniquely represents the authenticated user). Business operations are performed on aggregated data sets that do not contain any of these personal data tokens. […]</w:t>
      </w:r>
    </w:p>
    <w:p w14:paraId="2E30B066" w14:textId="77777777" w:rsidR="003B7F13" w:rsidRPr="001C19E7" w:rsidRDefault="003B7F13" w:rsidP="003B7F13">
      <w:pPr>
        <w:ind w:left="1304"/>
        <w:rPr>
          <w:i/>
          <w:iCs/>
          <w:lang w:val="en-US"/>
        </w:rPr>
      </w:pPr>
    </w:p>
    <w:p w14:paraId="2405D640" w14:textId="41314A3B" w:rsidR="003B7F13" w:rsidRPr="001C19E7" w:rsidRDefault="003B7F13" w:rsidP="003B7F13">
      <w:pPr>
        <w:ind w:left="1304"/>
        <w:rPr>
          <w:i/>
          <w:iCs/>
          <w:lang w:val="en-US" w:eastAsia="da-DK"/>
        </w:rPr>
      </w:pPr>
      <w:r w:rsidRPr="001C19E7">
        <w:rPr>
          <w:i/>
          <w:iCs/>
          <w:lang w:val="en-US"/>
        </w:rPr>
        <w:t>All personal data stored in Microsoft Service Generated Data such as system generated logs is stored in a pseudonymous form.”</w:t>
      </w:r>
    </w:p>
    <w:p w14:paraId="1837C374" w14:textId="77777777" w:rsidR="003B7F13" w:rsidRPr="001C19E7" w:rsidRDefault="003B7F13" w:rsidP="0036440D">
      <w:pPr>
        <w:rPr>
          <w:lang w:val="en-US" w:eastAsia="da-DK"/>
        </w:rPr>
      </w:pPr>
    </w:p>
    <w:p w14:paraId="55D25BD6" w14:textId="77777777" w:rsidR="0036440D" w:rsidRPr="00DC4F35" w:rsidRDefault="0036440D" w:rsidP="0036440D">
      <w:pPr>
        <w:rPr>
          <w:rFonts w:cstheme="minorHAnsi"/>
          <w:b/>
          <w:bCs/>
          <w:iCs/>
        </w:rPr>
      </w:pPr>
      <w:r w:rsidRPr="00DC4F35">
        <w:rPr>
          <w:rFonts w:cstheme="minorHAnsi"/>
          <w:b/>
          <w:bCs/>
          <w:iCs/>
        </w:rPr>
        <w:t xml:space="preserve">Logning </w:t>
      </w:r>
    </w:p>
    <w:p w14:paraId="0219FF75" w14:textId="6E6BFB23" w:rsidR="0036440D" w:rsidRPr="00DC4F35" w:rsidRDefault="0036440D" w:rsidP="0036440D">
      <w:pPr>
        <w:rPr>
          <w:rFonts w:cstheme="minorHAnsi"/>
          <w:iCs/>
        </w:rPr>
      </w:pPr>
      <w:r w:rsidRPr="00DC4F35">
        <w:rPr>
          <w:rFonts w:cstheme="minorHAnsi"/>
          <w:iCs/>
        </w:rPr>
        <w:t>Det fremgår af afsnittet ”</w:t>
      </w:r>
      <w:r w:rsidRPr="00DC4F35">
        <w:rPr>
          <w:i/>
          <w:iCs/>
        </w:rPr>
        <w:t xml:space="preserve">Security Practices and </w:t>
      </w:r>
      <w:proofErr w:type="spellStart"/>
      <w:r w:rsidRPr="00DC4F35">
        <w:rPr>
          <w:i/>
          <w:iCs/>
        </w:rPr>
        <w:t>Policies</w:t>
      </w:r>
      <w:proofErr w:type="spellEnd"/>
      <w:r w:rsidRPr="00DC4F35">
        <w:rPr>
          <w:rFonts w:cstheme="minorHAnsi"/>
          <w:iCs/>
        </w:rPr>
        <w:t>” i Microsoft</w:t>
      </w:r>
      <w:r w:rsidR="003E375A" w:rsidRPr="00DC4F35">
        <w:rPr>
          <w:rFonts w:cstheme="minorHAnsi"/>
          <w:iCs/>
        </w:rPr>
        <w:t xml:space="preserve"> Irelands</w:t>
      </w:r>
      <w:r w:rsidRPr="00DC4F35">
        <w:rPr>
          <w:rFonts w:cstheme="minorHAnsi"/>
          <w:iCs/>
        </w:rPr>
        <w:t xml:space="preserve"> databehandleraftale</w:t>
      </w:r>
      <w:r w:rsidR="003E375A" w:rsidRPr="00DC4F35">
        <w:rPr>
          <w:rFonts w:cstheme="minorHAnsi"/>
          <w:iCs/>
        </w:rPr>
        <w:t>,</w:t>
      </w:r>
      <w:r w:rsidR="00A219FA" w:rsidRPr="00DC4F35">
        <w:rPr>
          <w:rFonts w:cstheme="minorHAnsi"/>
          <w:iCs/>
        </w:rPr>
        <w:t xml:space="preserve"> side 8</w:t>
      </w:r>
      <w:r w:rsidR="000B6742" w:rsidRPr="00DC4F35">
        <w:rPr>
          <w:rFonts w:cstheme="minorHAnsi"/>
          <w:iCs/>
        </w:rPr>
        <w:t xml:space="preserve">, hvor der henvises til </w:t>
      </w:r>
      <w:proofErr w:type="spellStart"/>
      <w:r w:rsidR="007B541E" w:rsidRPr="00DC4F35">
        <w:rPr>
          <w:rFonts w:cstheme="minorHAnsi"/>
          <w:iCs/>
        </w:rPr>
        <w:t>Appendix</w:t>
      </w:r>
      <w:proofErr w:type="spellEnd"/>
      <w:r w:rsidR="007B541E" w:rsidRPr="00DC4F35">
        <w:rPr>
          <w:rFonts w:cstheme="minorHAnsi"/>
          <w:iCs/>
        </w:rPr>
        <w:t xml:space="preserve"> </w:t>
      </w:r>
      <w:r w:rsidR="000B6742" w:rsidRPr="00DC4F35">
        <w:rPr>
          <w:rFonts w:cstheme="minorHAnsi"/>
          <w:iCs/>
        </w:rPr>
        <w:t>A</w:t>
      </w:r>
      <w:r w:rsidRPr="00DC4F35">
        <w:rPr>
          <w:rFonts w:cstheme="minorHAnsi"/>
          <w:iCs/>
        </w:rPr>
        <w:t>, at Microsoft</w:t>
      </w:r>
      <w:r w:rsidR="009164ED" w:rsidRPr="00DC4F35">
        <w:rPr>
          <w:rFonts w:cstheme="minorHAnsi"/>
          <w:iCs/>
        </w:rPr>
        <w:t xml:space="preserve"> Ireland</w:t>
      </w:r>
      <w:r w:rsidRPr="00DC4F35">
        <w:rPr>
          <w:rFonts w:cstheme="minorHAnsi"/>
          <w:iCs/>
        </w:rPr>
        <w:t xml:space="preserve"> har etableret procedurer for hændelseslogning.</w:t>
      </w:r>
      <w:r w:rsidRPr="00DC4F35">
        <w:t xml:space="preserve"> </w:t>
      </w:r>
      <w:r w:rsidRPr="00DC4F35">
        <w:rPr>
          <w:rFonts w:cstheme="minorHAnsi"/>
          <w:iCs/>
        </w:rPr>
        <w:t xml:space="preserve">Microsoft </w:t>
      </w:r>
      <w:r w:rsidR="00BD3195" w:rsidRPr="00DC4F35">
        <w:rPr>
          <w:rFonts w:cstheme="minorHAnsi"/>
          <w:iCs/>
        </w:rPr>
        <w:t xml:space="preserve">Ireland </w:t>
      </w:r>
      <w:r w:rsidRPr="00DC4F35">
        <w:rPr>
          <w:rFonts w:cstheme="minorHAnsi"/>
          <w:iCs/>
        </w:rPr>
        <w:t xml:space="preserve">logger, eller giver kunden mulighed for at logge, adgang til og brug af systemer med Customer Data via registrering af adgangs-id, tidspunkt, tildelt eller afvist godkendelse og relevant aktivitet. Microsoft </w:t>
      </w:r>
      <w:r w:rsidR="00BD3195" w:rsidRPr="00DC4F35">
        <w:rPr>
          <w:rFonts w:cstheme="minorHAnsi"/>
          <w:iCs/>
        </w:rPr>
        <w:t xml:space="preserve">Ireland </w:t>
      </w:r>
      <w:r w:rsidRPr="00DC4F35">
        <w:rPr>
          <w:rFonts w:cstheme="minorHAnsi"/>
          <w:iCs/>
        </w:rPr>
        <w:t xml:space="preserve">logger også forsøg på gendannelse af slettede data. </w:t>
      </w:r>
    </w:p>
    <w:p w14:paraId="3A69CF65" w14:textId="77777777" w:rsidR="0036440D" w:rsidRPr="00DC4F35" w:rsidRDefault="0036440D" w:rsidP="0036440D">
      <w:pPr>
        <w:rPr>
          <w:rFonts w:cstheme="minorHAnsi"/>
          <w:iCs/>
        </w:rPr>
      </w:pPr>
    </w:p>
    <w:p w14:paraId="08462FC3" w14:textId="2C162DC1" w:rsidR="0036440D" w:rsidRPr="00DC4F35" w:rsidRDefault="0036440D" w:rsidP="0036440D">
      <w:pPr>
        <w:rPr>
          <w:rFonts w:cstheme="minorHAnsi"/>
          <w:iCs/>
        </w:rPr>
      </w:pPr>
      <w:r w:rsidRPr="00DC4F35">
        <w:rPr>
          <w:rFonts w:cstheme="minorHAnsi"/>
          <w:iCs/>
        </w:rPr>
        <w:t xml:space="preserve">Det fremgår videre af </w:t>
      </w:r>
      <w:r w:rsidR="000B1A6F" w:rsidRPr="00DC4F35">
        <w:t xml:space="preserve">EU Data </w:t>
      </w:r>
      <w:proofErr w:type="spellStart"/>
      <w:r w:rsidR="000B1A6F" w:rsidRPr="00DC4F35">
        <w:t>Boundary</w:t>
      </w:r>
      <w:proofErr w:type="spellEnd"/>
      <w:r w:rsidR="000B1A6F" w:rsidRPr="00DC4F35">
        <w:t xml:space="preserve"> </w:t>
      </w:r>
      <w:r w:rsidRPr="00DC4F35">
        <w:rPr>
          <w:rFonts w:cstheme="minorHAnsi"/>
        </w:rPr>
        <w:t>do</w:t>
      </w:r>
      <w:r w:rsidR="000B1A6F" w:rsidRPr="00DC4F35">
        <w:rPr>
          <w:rFonts w:cstheme="minorHAnsi"/>
        </w:rPr>
        <w:t>k</w:t>
      </w:r>
      <w:r w:rsidRPr="00DC4F35">
        <w:rPr>
          <w:rFonts w:cstheme="minorHAnsi"/>
        </w:rPr>
        <w:t>umentation</w:t>
      </w:r>
      <w:r w:rsidR="00BD3195" w:rsidRPr="00DC4F35">
        <w:rPr>
          <w:rFonts w:cstheme="minorHAnsi"/>
        </w:rPr>
        <w:t>en</w:t>
      </w:r>
      <w:r w:rsidRPr="00DC4F35">
        <w:rPr>
          <w:rFonts w:cstheme="minorHAnsi"/>
        </w:rPr>
        <w:t xml:space="preserve"> vedrørende EU Data </w:t>
      </w:r>
      <w:proofErr w:type="spellStart"/>
      <w:r w:rsidRPr="00DC4F35">
        <w:rPr>
          <w:rFonts w:cstheme="minorHAnsi"/>
        </w:rPr>
        <w:t>Boundary</w:t>
      </w:r>
      <w:proofErr w:type="spellEnd"/>
      <w:r w:rsidRPr="00DC4F35">
        <w:rPr>
          <w:rFonts w:cstheme="minorHAnsi"/>
          <w:iCs/>
        </w:rPr>
        <w:t>, at adgang til Customer Data i forbindelse med Microsoft</w:t>
      </w:r>
      <w:r w:rsidR="00BD3195" w:rsidRPr="00DC4F35">
        <w:rPr>
          <w:rFonts w:cstheme="minorHAnsi"/>
          <w:iCs/>
        </w:rPr>
        <w:t xml:space="preserve"> Irelands</w:t>
      </w:r>
      <w:r w:rsidRPr="00DC4F35">
        <w:rPr>
          <w:rFonts w:cstheme="minorHAnsi"/>
          <w:iCs/>
        </w:rPr>
        <w:t xml:space="preserve"> og Microsofts underdatabehandlere logges og monitorers af Microsoft. </w:t>
      </w:r>
    </w:p>
    <w:p w14:paraId="07A2FCB2" w14:textId="77777777" w:rsidR="0036440D" w:rsidRPr="00DC4F35" w:rsidRDefault="0036440D" w:rsidP="0036440D">
      <w:pPr>
        <w:rPr>
          <w:rFonts w:cstheme="minorHAnsi"/>
          <w:b/>
          <w:bCs/>
          <w:iCs/>
        </w:rPr>
      </w:pPr>
    </w:p>
    <w:p w14:paraId="12C4FCA1" w14:textId="77777777" w:rsidR="0036440D" w:rsidRPr="00DC4F35" w:rsidRDefault="0036440D" w:rsidP="0036440D">
      <w:pPr>
        <w:rPr>
          <w:rFonts w:cstheme="minorHAnsi"/>
          <w:b/>
          <w:bCs/>
          <w:iCs/>
        </w:rPr>
      </w:pPr>
      <w:r w:rsidRPr="00DC4F35">
        <w:rPr>
          <w:rFonts w:cstheme="minorHAnsi"/>
          <w:b/>
          <w:bCs/>
          <w:iCs/>
        </w:rPr>
        <w:t xml:space="preserve">Adgangsstyring </w:t>
      </w:r>
    </w:p>
    <w:p w14:paraId="2A1C564D" w14:textId="5D1C8673" w:rsidR="0036440D" w:rsidRPr="00DC4F35" w:rsidRDefault="0036440D" w:rsidP="0036440D">
      <w:pPr>
        <w:rPr>
          <w:rFonts w:cstheme="minorHAnsi"/>
          <w:iCs/>
        </w:rPr>
      </w:pPr>
      <w:r w:rsidRPr="00DC4F35">
        <w:rPr>
          <w:rFonts w:cstheme="minorHAnsi"/>
          <w:iCs/>
        </w:rPr>
        <w:t>Det fremgår af afsnittet ”</w:t>
      </w:r>
      <w:r w:rsidRPr="00DC4F35">
        <w:rPr>
          <w:i/>
          <w:iCs/>
        </w:rPr>
        <w:t>Data Access</w:t>
      </w:r>
      <w:r w:rsidRPr="00DC4F35">
        <w:rPr>
          <w:rFonts w:cstheme="minorHAnsi"/>
          <w:iCs/>
        </w:rPr>
        <w:t>” og ”</w:t>
      </w:r>
      <w:proofErr w:type="spellStart"/>
      <w:r w:rsidRPr="00DC4F35">
        <w:rPr>
          <w:rFonts w:cstheme="minorHAnsi"/>
          <w:i/>
        </w:rPr>
        <w:t>Appendix</w:t>
      </w:r>
      <w:proofErr w:type="spellEnd"/>
      <w:r w:rsidRPr="00DC4F35">
        <w:rPr>
          <w:rFonts w:cstheme="minorHAnsi"/>
          <w:i/>
        </w:rPr>
        <w:t xml:space="preserve"> A – Security Measures</w:t>
      </w:r>
      <w:r w:rsidRPr="00DC4F35">
        <w:rPr>
          <w:rFonts w:cstheme="minorHAnsi"/>
          <w:iCs/>
        </w:rPr>
        <w:t>” i Microsoft</w:t>
      </w:r>
      <w:r w:rsidR="00470ACB" w:rsidRPr="00DC4F35">
        <w:rPr>
          <w:rFonts w:cstheme="minorHAnsi"/>
          <w:iCs/>
        </w:rPr>
        <w:t xml:space="preserve"> Irelands</w:t>
      </w:r>
      <w:r w:rsidRPr="00DC4F35">
        <w:rPr>
          <w:rFonts w:cstheme="minorHAnsi"/>
          <w:iCs/>
        </w:rPr>
        <w:t xml:space="preserve"> databehandleraftale, at adgang til data vil blive tildelt efter princippet om ”</w:t>
      </w:r>
      <w:proofErr w:type="spellStart"/>
      <w:r w:rsidRPr="00DC4F35">
        <w:rPr>
          <w:rFonts w:cstheme="minorHAnsi"/>
          <w:iCs/>
        </w:rPr>
        <w:t>least</w:t>
      </w:r>
      <w:proofErr w:type="spellEnd"/>
      <w:r w:rsidRPr="00DC4F35">
        <w:rPr>
          <w:rFonts w:cstheme="minorHAnsi"/>
          <w:iCs/>
        </w:rPr>
        <w:t xml:space="preserve"> </w:t>
      </w:r>
      <w:proofErr w:type="spellStart"/>
      <w:r w:rsidRPr="00DC4F35">
        <w:rPr>
          <w:rFonts w:cstheme="minorHAnsi"/>
          <w:iCs/>
        </w:rPr>
        <w:t>privilege</w:t>
      </w:r>
      <w:proofErr w:type="spellEnd"/>
      <w:r w:rsidRPr="00DC4F35">
        <w:rPr>
          <w:rFonts w:cstheme="minorHAnsi"/>
          <w:iCs/>
        </w:rPr>
        <w:t xml:space="preserve">”. </w:t>
      </w:r>
    </w:p>
    <w:p w14:paraId="1C278916" w14:textId="77777777" w:rsidR="0036440D" w:rsidRPr="00DC4F35" w:rsidRDefault="0036440D" w:rsidP="0036440D">
      <w:pPr>
        <w:rPr>
          <w:rFonts w:cstheme="minorHAnsi"/>
          <w:iCs/>
        </w:rPr>
      </w:pPr>
    </w:p>
    <w:p w14:paraId="33C2E4EA" w14:textId="20CB31D2" w:rsidR="0036440D" w:rsidRPr="00DC4F35" w:rsidRDefault="0036440D" w:rsidP="0036440D">
      <w:pPr>
        <w:rPr>
          <w:rFonts w:cstheme="minorHAnsi"/>
          <w:iCs/>
        </w:rPr>
      </w:pPr>
      <w:r w:rsidRPr="00DC4F35">
        <w:rPr>
          <w:rFonts w:cstheme="minorHAnsi"/>
          <w:iCs/>
        </w:rPr>
        <w:t xml:space="preserve">Det fremgår videre af </w:t>
      </w:r>
      <w:r w:rsidR="000B1A6F" w:rsidRPr="00DC4F35">
        <w:t xml:space="preserve">EU Data </w:t>
      </w:r>
      <w:proofErr w:type="spellStart"/>
      <w:r w:rsidR="000B1A6F" w:rsidRPr="00DC4F35">
        <w:t>Boundary</w:t>
      </w:r>
      <w:proofErr w:type="spellEnd"/>
      <w:r w:rsidR="000B1A6F" w:rsidRPr="00DC4F35">
        <w:t xml:space="preserve"> </w:t>
      </w:r>
      <w:r w:rsidRPr="00DC4F35">
        <w:rPr>
          <w:rFonts w:cstheme="minorHAnsi"/>
        </w:rPr>
        <w:t>do</w:t>
      </w:r>
      <w:r w:rsidR="000B1A6F" w:rsidRPr="00DC4F35">
        <w:rPr>
          <w:rFonts w:cstheme="minorHAnsi"/>
        </w:rPr>
        <w:t>k</w:t>
      </w:r>
      <w:r w:rsidRPr="00DC4F35">
        <w:rPr>
          <w:rFonts w:cstheme="minorHAnsi"/>
        </w:rPr>
        <w:t xml:space="preserve">umentation vedrørende EU Data </w:t>
      </w:r>
      <w:proofErr w:type="spellStart"/>
      <w:r w:rsidRPr="00DC4F35">
        <w:rPr>
          <w:rFonts w:cstheme="minorHAnsi"/>
        </w:rPr>
        <w:t>Boundary</w:t>
      </w:r>
      <w:proofErr w:type="spellEnd"/>
      <w:r w:rsidRPr="00DC4F35">
        <w:rPr>
          <w:rFonts w:cstheme="minorHAnsi"/>
        </w:rPr>
        <w:t xml:space="preserve">, at </w:t>
      </w:r>
      <w:r w:rsidRPr="00DC4F35">
        <w:rPr>
          <w:rFonts w:cstheme="minorHAnsi"/>
          <w:iCs/>
        </w:rPr>
        <w:t xml:space="preserve">Microsoft begrænser adgangen til Customer Data til de personer, hvor brugen af adgangen indgår i jobfunktionen.  Microsoft </w:t>
      </w:r>
      <w:r w:rsidR="005202E6" w:rsidRPr="00DC4F35">
        <w:rPr>
          <w:rFonts w:cstheme="minorHAnsi"/>
          <w:iCs/>
        </w:rPr>
        <w:t xml:space="preserve">Ireland </w:t>
      </w:r>
      <w:r w:rsidRPr="00DC4F35">
        <w:rPr>
          <w:rFonts w:cstheme="minorHAnsi"/>
          <w:iCs/>
        </w:rPr>
        <w:t xml:space="preserve">giver alene en </w:t>
      </w:r>
      <w:r w:rsidRPr="00DC4F35">
        <w:t>j</w:t>
      </w:r>
      <w:r w:rsidRPr="00DC4F35">
        <w:rPr>
          <w:rFonts w:cstheme="minorHAnsi"/>
          <w:iCs/>
        </w:rPr>
        <w:t xml:space="preserve">ust-in-time (JIT) </w:t>
      </w:r>
      <w:proofErr w:type="spellStart"/>
      <w:r w:rsidRPr="00DC4F35">
        <w:rPr>
          <w:rFonts w:cstheme="minorHAnsi"/>
          <w:iCs/>
        </w:rPr>
        <w:t>access</w:t>
      </w:r>
      <w:proofErr w:type="spellEnd"/>
      <w:r w:rsidRPr="00DC4F35">
        <w:rPr>
          <w:rFonts w:cstheme="minorHAnsi"/>
          <w:iCs/>
        </w:rPr>
        <w:t xml:space="preserve"> ”</w:t>
      </w:r>
      <w:proofErr w:type="spellStart"/>
      <w:r w:rsidRPr="00DC4F35">
        <w:rPr>
          <w:rFonts w:cstheme="minorHAnsi"/>
          <w:i/>
        </w:rPr>
        <w:t>which</w:t>
      </w:r>
      <w:proofErr w:type="spellEnd"/>
      <w:r w:rsidRPr="00DC4F35">
        <w:rPr>
          <w:rFonts w:cstheme="minorHAnsi"/>
          <w:i/>
        </w:rPr>
        <w:t xml:space="preserve"> </w:t>
      </w:r>
      <w:proofErr w:type="spellStart"/>
      <w:r w:rsidRPr="00DC4F35">
        <w:rPr>
          <w:rFonts w:cstheme="minorHAnsi"/>
          <w:i/>
        </w:rPr>
        <w:t>are</w:t>
      </w:r>
      <w:proofErr w:type="spellEnd"/>
      <w:r w:rsidRPr="00DC4F35">
        <w:rPr>
          <w:rFonts w:cstheme="minorHAnsi"/>
          <w:i/>
        </w:rPr>
        <w:t xml:space="preserve"> </w:t>
      </w:r>
      <w:proofErr w:type="spellStart"/>
      <w:r w:rsidRPr="00DC4F35">
        <w:rPr>
          <w:rFonts w:cstheme="minorHAnsi"/>
          <w:i/>
        </w:rPr>
        <w:t>granted</w:t>
      </w:r>
      <w:proofErr w:type="spellEnd"/>
      <w:r w:rsidRPr="00DC4F35">
        <w:rPr>
          <w:rFonts w:cstheme="minorHAnsi"/>
          <w:i/>
        </w:rPr>
        <w:t xml:space="preserve"> </w:t>
      </w:r>
      <w:proofErr w:type="spellStart"/>
      <w:r w:rsidRPr="00DC4F35">
        <w:rPr>
          <w:rFonts w:cstheme="minorHAnsi"/>
          <w:i/>
        </w:rPr>
        <w:t>only</w:t>
      </w:r>
      <w:proofErr w:type="spellEnd"/>
      <w:r w:rsidRPr="00DC4F35">
        <w:rPr>
          <w:rFonts w:cstheme="minorHAnsi"/>
          <w:i/>
        </w:rPr>
        <w:t xml:space="preserve"> for as long as is </w:t>
      </w:r>
      <w:proofErr w:type="spellStart"/>
      <w:r w:rsidRPr="00DC4F35">
        <w:rPr>
          <w:rFonts w:cstheme="minorHAnsi"/>
          <w:i/>
        </w:rPr>
        <w:t>necessary</w:t>
      </w:r>
      <w:proofErr w:type="spellEnd"/>
      <w:r w:rsidRPr="00DC4F35">
        <w:rPr>
          <w:rFonts w:cstheme="minorHAnsi"/>
          <w:i/>
        </w:rPr>
        <w:t xml:space="preserve"> to </w:t>
      </w:r>
      <w:proofErr w:type="spellStart"/>
      <w:r w:rsidRPr="00DC4F35">
        <w:rPr>
          <w:rFonts w:cstheme="minorHAnsi"/>
          <w:i/>
        </w:rPr>
        <w:t>achieve</w:t>
      </w:r>
      <w:proofErr w:type="spellEnd"/>
      <w:r w:rsidRPr="00DC4F35">
        <w:rPr>
          <w:rFonts w:cstheme="minorHAnsi"/>
          <w:i/>
        </w:rPr>
        <w:t xml:space="preserve"> </w:t>
      </w:r>
      <w:proofErr w:type="spellStart"/>
      <w:r w:rsidRPr="00DC4F35">
        <w:rPr>
          <w:rFonts w:cstheme="minorHAnsi"/>
          <w:i/>
        </w:rPr>
        <w:t>that</w:t>
      </w:r>
      <w:proofErr w:type="spellEnd"/>
      <w:r w:rsidRPr="00DC4F35">
        <w:rPr>
          <w:rFonts w:cstheme="minorHAnsi"/>
          <w:i/>
        </w:rPr>
        <w:t xml:space="preserve"> purpose</w:t>
      </w:r>
      <w:r w:rsidRPr="00DC4F35">
        <w:rPr>
          <w:rFonts w:cstheme="minorHAnsi"/>
          <w:iCs/>
        </w:rPr>
        <w:t>”</w:t>
      </w:r>
      <w:r w:rsidR="005202E6" w:rsidRPr="00DC4F35">
        <w:rPr>
          <w:rFonts w:cstheme="minorHAnsi"/>
          <w:iCs/>
        </w:rPr>
        <w:t xml:space="preserve">, og der er således ikke en stående adgang til oplysningerne fra </w:t>
      </w:r>
      <w:r w:rsidR="00FE1A03" w:rsidRPr="00DC4F35">
        <w:rPr>
          <w:rFonts w:cstheme="minorHAnsi"/>
          <w:iCs/>
        </w:rPr>
        <w:t xml:space="preserve">det pågældende </w:t>
      </w:r>
      <w:r w:rsidR="005202E6" w:rsidRPr="00DC4F35">
        <w:rPr>
          <w:rFonts w:cstheme="minorHAnsi"/>
          <w:iCs/>
        </w:rPr>
        <w:t>tredjeland</w:t>
      </w:r>
      <w:r w:rsidRPr="00DC4F35">
        <w:rPr>
          <w:rFonts w:cstheme="minorHAnsi"/>
          <w:iCs/>
        </w:rPr>
        <w:t>.</w:t>
      </w:r>
      <w:r w:rsidRPr="00DC4F35">
        <w:t xml:space="preserve"> </w:t>
      </w:r>
      <w:r w:rsidRPr="00DC4F35">
        <w:rPr>
          <w:rFonts w:cstheme="minorHAnsi"/>
          <w:iCs/>
        </w:rPr>
        <w:t>Microsoft</w:t>
      </w:r>
      <w:r w:rsidR="008B6E56" w:rsidRPr="00DC4F35">
        <w:rPr>
          <w:rFonts w:cstheme="minorHAnsi"/>
          <w:iCs/>
        </w:rPr>
        <w:t>s</w:t>
      </w:r>
      <w:r w:rsidRPr="00DC4F35">
        <w:rPr>
          <w:rFonts w:cstheme="minorHAnsi"/>
          <w:iCs/>
        </w:rPr>
        <w:t xml:space="preserve"> medarbejdere har således ikke ”pr. default-adgang” til Customer Data</w:t>
      </w:r>
      <w:r w:rsidR="007B541E" w:rsidRPr="00DC4F35">
        <w:rPr>
          <w:rFonts w:cstheme="minorHAnsi"/>
          <w:iCs/>
        </w:rPr>
        <w:t>,</w:t>
      </w:r>
      <w:r w:rsidRPr="00DC4F35">
        <w:rPr>
          <w:rFonts w:cstheme="minorHAnsi"/>
          <w:iCs/>
        </w:rPr>
        <w:t xml:space="preserve"> og adgang tildeles kun i det nødvendige tidsrum. Adgang til Customer Data sker under tilsyn fra en eller flere ledere.</w:t>
      </w:r>
      <w:r w:rsidRPr="00DC4F35">
        <w:rPr>
          <w:rFonts w:cstheme="minorHAnsi"/>
          <w:iCs/>
          <w:color w:val="FF0000"/>
        </w:rPr>
        <w:t xml:space="preserve"> </w:t>
      </w:r>
      <w:r w:rsidR="00904C9A" w:rsidRPr="00DC4F35">
        <w:rPr>
          <w:rFonts w:cstheme="minorHAnsi"/>
          <w:iCs/>
        </w:rPr>
        <w:t>Microsoft har til brug for konsekvensanalysen desuden uddybet, at det ikke er usædvanligt</w:t>
      </w:r>
      <w:r w:rsidR="008B6E56" w:rsidRPr="00DC4F35">
        <w:rPr>
          <w:rFonts w:cstheme="minorHAnsi"/>
          <w:iCs/>
        </w:rPr>
        <w:t>,</w:t>
      </w:r>
      <w:r w:rsidR="00904C9A" w:rsidRPr="00DC4F35">
        <w:rPr>
          <w:rFonts w:cstheme="minorHAnsi"/>
          <w:iCs/>
        </w:rPr>
        <w:t xml:space="preserve"> at den ingeniør/supporter, der beder om adgang til personoplysninger, og den leder, der skal godkende adgang, befinder sig i hvert sit land, hvorved det ligeledes sikres, at der ikke pludselig sker en behandling i strid med instruks med henblik på at varetage det pågældende lands</w:t>
      </w:r>
      <w:r w:rsidR="008B6E56" w:rsidRPr="00DC4F35">
        <w:rPr>
          <w:rFonts w:cstheme="minorHAnsi"/>
          <w:iCs/>
        </w:rPr>
        <w:t xml:space="preserve"> myndigheders</w:t>
      </w:r>
      <w:r w:rsidR="00904C9A" w:rsidRPr="00DC4F35">
        <w:rPr>
          <w:rFonts w:cstheme="minorHAnsi"/>
          <w:iCs/>
        </w:rPr>
        <w:t xml:space="preserve"> interesser o.l. </w:t>
      </w:r>
      <w:r w:rsidRPr="00DC4F35">
        <w:rPr>
          <w:rFonts w:cstheme="minorHAnsi"/>
          <w:iCs/>
        </w:rPr>
        <w:t>Microsoft har desuden procedurer</w:t>
      </w:r>
      <w:r w:rsidR="00F9080F" w:rsidRPr="00DC4F35">
        <w:rPr>
          <w:rFonts w:cstheme="minorHAnsi"/>
          <w:iCs/>
        </w:rPr>
        <w:t>,</w:t>
      </w:r>
      <w:r w:rsidRPr="00DC4F35">
        <w:rPr>
          <w:rFonts w:cstheme="minorHAnsi"/>
          <w:iCs/>
        </w:rPr>
        <w:t xml:space="preserve"> som sikrer, at adgangen til Customer Data sker uden lagring af data hos den, der tilgår Customer Data. </w:t>
      </w:r>
    </w:p>
    <w:p w14:paraId="462CE89C" w14:textId="77777777" w:rsidR="005343FF" w:rsidRPr="00DC4F35" w:rsidRDefault="005343FF" w:rsidP="0036440D">
      <w:pPr>
        <w:rPr>
          <w:rFonts w:cstheme="minorHAnsi"/>
          <w:iCs/>
        </w:rPr>
      </w:pPr>
    </w:p>
    <w:p w14:paraId="5AEB5A0E" w14:textId="6C96223F" w:rsidR="00142011" w:rsidRPr="00DC4F35" w:rsidRDefault="005343FF" w:rsidP="00E37702">
      <w:pPr>
        <w:rPr>
          <w:rFonts w:cstheme="minorHAnsi"/>
          <w:b/>
          <w:bCs/>
          <w:iCs/>
        </w:rPr>
      </w:pPr>
      <w:r w:rsidRPr="00DC4F35">
        <w:rPr>
          <w:rFonts w:cstheme="minorHAnsi"/>
          <w:b/>
          <w:bCs/>
          <w:iCs/>
        </w:rPr>
        <w:t xml:space="preserve">Customer </w:t>
      </w:r>
      <w:proofErr w:type="spellStart"/>
      <w:r w:rsidRPr="00DC4F35">
        <w:rPr>
          <w:rFonts w:cstheme="minorHAnsi"/>
          <w:b/>
          <w:bCs/>
          <w:iCs/>
        </w:rPr>
        <w:t>Lockbox</w:t>
      </w:r>
      <w:proofErr w:type="spellEnd"/>
    </w:p>
    <w:p w14:paraId="6F690E4A" w14:textId="398DBF1B" w:rsidR="00E37702" w:rsidRPr="00DC4F35" w:rsidRDefault="00E37702" w:rsidP="00E37702">
      <w:pPr>
        <w:rPr>
          <w:rFonts w:cstheme="minorHAnsi"/>
          <w:b/>
          <w:bCs/>
          <w:iCs/>
        </w:rPr>
      </w:pPr>
      <w:r w:rsidRPr="00DC4F35">
        <w:t>Foruden de sikkerhedsforanstaltninger, der er fastlagt i Microsoft</w:t>
      </w:r>
      <w:r w:rsidR="000D636B" w:rsidRPr="00DC4F35">
        <w:t xml:space="preserve"> Irelands</w:t>
      </w:r>
      <w:r w:rsidRPr="00DC4F35">
        <w:t xml:space="preserve"> databehandleraftale, tilbyder Microsoft</w:t>
      </w:r>
      <w:r w:rsidR="00476DC1" w:rsidRPr="00DC4F35">
        <w:t xml:space="preserve"> Ireland</w:t>
      </w:r>
      <w:r w:rsidRPr="00DC4F35">
        <w:t xml:space="preserve"> en ”</w:t>
      </w:r>
      <w:r w:rsidR="00512379" w:rsidRPr="00512379">
        <w:t xml:space="preserve"> Microsoft Purview Customer </w:t>
      </w:r>
      <w:proofErr w:type="spellStart"/>
      <w:r w:rsidR="00512379" w:rsidRPr="00512379">
        <w:t>Lockbox</w:t>
      </w:r>
      <w:proofErr w:type="spellEnd"/>
      <w:r w:rsidR="00512379">
        <w:t xml:space="preserve"> service</w:t>
      </w:r>
      <w:r w:rsidRPr="00DC4F35">
        <w:t>”</w:t>
      </w:r>
      <w:r w:rsidR="00512379">
        <w:t xml:space="preserve"> (i det følgende kaldet ”</w:t>
      </w:r>
      <w:r w:rsidR="00512379" w:rsidRPr="00512379">
        <w:t xml:space="preserve">Customer </w:t>
      </w:r>
      <w:proofErr w:type="spellStart"/>
      <w:r w:rsidR="00512379" w:rsidRPr="00512379">
        <w:lastRenderedPageBreak/>
        <w:t>Lockbox</w:t>
      </w:r>
      <w:proofErr w:type="spellEnd"/>
      <w:r w:rsidR="00512379">
        <w:t>”)</w:t>
      </w:r>
      <w:r w:rsidRPr="00DC4F35">
        <w:t xml:space="preserve"> for en række Microsoft 365 cloudtjenester. Customer </w:t>
      </w:r>
      <w:proofErr w:type="spellStart"/>
      <w:r w:rsidRPr="00DC4F35">
        <w:t>Lockbox</w:t>
      </w:r>
      <w:proofErr w:type="spellEnd"/>
      <w:r w:rsidRPr="00DC4F35">
        <w:t xml:space="preserve"> kan anvendes sammen med alle cloudtjenester omfattet af denne konsekvensanalyse</w:t>
      </w:r>
      <w:r w:rsidR="00476DC1" w:rsidRPr="00DC4F35">
        <w:t>.</w:t>
      </w:r>
      <w:r w:rsidRPr="00DC4F35">
        <w:rPr>
          <w:rStyle w:val="Fodnotehenvisning"/>
        </w:rPr>
        <w:footnoteReference w:id="39"/>
      </w:r>
      <w:r w:rsidRPr="00DC4F35">
        <w:t xml:space="preserve">  </w:t>
      </w:r>
      <w:bookmarkStart w:id="93" w:name="_Hlk143172117"/>
    </w:p>
    <w:p w14:paraId="2C562897" w14:textId="77777777" w:rsidR="00E37702" w:rsidRPr="00DC4F35" w:rsidRDefault="00E37702" w:rsidP="00E37702"/>
    <w:p w14:paraId="005FFE81" w14:textId="18C33870" w:rsidR="00E37702" w:rsidRPr="00DC4F35" w:rsidRDefault="00E37702" w:rsidP="00E37702">
      <w:r w:rsidRPr="00DC4F35">
        <w:t xml:space="preserve">Customer </w:t>
      </w:r>
      <w:proofErr w:type="spellStart"/>
      <w:r w:rsidRPr="00DC4F35">
        <w:t>Lockbox</w:t>
      </w:r>
      <w:proofErr w:type="spellEnd"/>
      <w:r w:rsidRPr="00DC4F35">
        <w:t xml:space="preserve"> er en sikkerhedsfunktion, der giver kunderne kontrol over adgangen til kundens data i de tjenester, den er aktiveret for. Ved tilvalg af Customer </w:t>
      </w:r>
      <w:proofErr w:type="spellStart"/>
      <w:r w:rsidRPr="00DC4F35">
        <w:t>Lockbox</w:t>
      </w:r>
      <w:proofErr w:type="spellEnd"/>
      <w:r w:rsidRPr="00DC4F35">
        <w:t xml:space="preserve"> skal Microsofts personale/ingeniører, som har behov for at tilgå kundens data i forbindelse med ”service operations”</w:t>
      </w:r>
      <w:r w:rsidR="00512379">
        <w:t>, herunder supportydelser</w:t>
      </w:r>
      <w:r w:rsidR="00F9080F" w:rsidRPr="00DC4F35">
        <w:t>,</w:t>
      </w:r>
      <w:r w:rsidRPr="00DC4F35">
        <w:t xml:space="preserve"> fremsende en anmodning om tilladelse til adgang til data, som kunden så kan godkende eller afvise. </w:t>
      </w:r>
      <w:bookmarkStart w:id="94" w:name="_Hlk143172088"/>
      <w:bookmarkEnd w:id="93"/>
      <w:r w:rsidRPr="00DC4F35">
        <w:t xml:space="preserve">I det omfang kunden afviser adgang til data via Customer </w:t>
      </w:r>
      <w:proofErr w:type="spellStart"/>
      <w:r w:rsidRPr="00DC4F35">
        <w:t>Lockbox</w:t>
      </w:r>
      <w:proofErr w:type="spellEnd"/>
      <w:r w:rsidRPr="00DC4F35">
        <w:t>, vil den pågældende Microsoft</w:t>
      </w:r>
      <w:r w:rsidR="00557DC2" w:rsidRPr="00DC4F35">
        <w:t>-</w:t>
      </w:r>
      <w:r w:rsidRPr="00DC4F35">
        <w:t xml:space="preserve">medarbejder ikke opnå adgang. Aktivitetslogs i relation til Customer </w:t>
      </w:r>
      <w:proofErr w:type="spellStart"/>
      <w:r w:rsidRPr="00DC4F35">
        <w:t>Lockbox</w:t>
      </w:r>
      <w:proofErr w:type="spellEnd"/>
      <w:r w:rsidRPr="00DC4F35">
        <w:t xml:space="preserve"> anmodninger og tilladelser gemmes og kan tilgås af kunden. Ved godkendelse af en anmodning opnår </w:t>
      </w:r>
      <w:r w:rsidR="00422BE5" w:rsidRPr="00DC4F35">
        <w:t xml:space="preserve">den, der anmoder om adgang, </w:t>
      </w:r>
      <w:r w:rsidRPr="00DC4F35">
        <w:t xml:space="preserve">adgang i det tidsrum, der fremgår af adgangsanmodningen i </w:t>
      </w:r>
      <w:proofErr w:type="spellStart"/>
      <w:r w:rsidRPr="00DC4F35">
        <w:t>Lockbox</w:t>
      </w:r>
      <w:proofErr w:type="spellEnd"/>
      <w:r w:rsidRPr="00DC4F35">
        <w:t>, dog maksimalt 4 timer.</w:t>
      </w:r>
      <w:bookmarkEnd w:id="94"/>
      <w:r w:rsidRPr="00DC4F35">
        <w:t xml:space="preserve"> Alle handlinger foretaget af Microsofts personale logges og kan ses af kunden. </w:t>
      </w:r>
    </w:p>
    <w:p w14:paraId="7DB33F93" w14:textId="77777777" w:rsidR="00E37702" w:rsidRPr="00DC4F35" w:rsidRDefault="00E37702" w:rsidP="00E37702"/>
    <w:p w14:paraId="3BDC77BE" w14:textId="0918D8C4" w:rsidR="009C008E" w:rsidRPr="00BC6602" w:rsidRDefault="00E37702" w:rsidP="00E37702">
      <w:pPr>
        <w:rPr>
          <w:lang w:val="en-US"/>
        </w:rPr>
      </w:pPr>
      <w:proofErr w:type="spellStart"/>
      <w:r w:rsidRPr="00DC4F35">
        <w:t>Lockbox</w:t>
      </w:r>
      <w:proofErr w:type="spellEnd"/>
      <w:r w:rsidRPr="00DC4F35">
        <w:t xml:space="preserve"> finder ifølge beskrivelsen på Microsofts hjemmeside</w:t>
      </w:r>
      <w:r w:rsidRPr="00DC4F35">
        <w:rPr>
          <w:rStyle w:val="Fodnotehenvisning"/>
        </w:rPr>
        <w:footnoteReference w:id="40"/>
      </w:r>
      <w:r w:rsidRPr="00DC4F35">
        <w:t xml:space="preserve"> anvendelse ved adgang til ”</w:t>
      </w:r>
      <w:proofErr w:type="spellStart"/>
      <w:r w:rsidRPr="00DC4F35">
        <w:t>customer</w:t>
      </w:r>
      <w:proofErr w:type="spellEnd"/>
      <w:r w:rsidRPr="00DC4F35">
        <w:t xml:space="preserve"> content”. </w:t>
      </w:r>
      <w:proofErr w:type="spellStart"/>
      <w:r w:rsidR="009C008E" w:rsidRPr="00BC6602">
        <w:rPr>
          <w:lang w:val="en-US"/>
        </w:rPr>
        <w:t>Af</w:t>
      </w:r>
      <w:proofErr w:type="spellEnd"/>
      <w:r w:rsidR="009C008E" w:rsidRPr="00BC6602">
        <w:rPr>
          <w:lang w:val="en-US"/>
        </w:rPr>
        <w:t xml:space="preserve"> </w:t>
      </w:r>
      <w:proofErr w:type="spellStart"/>
      <w:r w:rsidR="009C008E" w:rsidRPr="00BC6602">
        <w:rPr>
          <w:lang w:val="en-US"/>
        </w:rPr>
        <w:t>Microsofts</w:t>
      </w:r>
      <w:proofErr w:type="spellEnd"/>
      <w:r w:rsidR="009C008E" w:rsidRPr="00BC6602">
        <w:rPr>
          <w:lang w:val="en-US"/>
        </w:rPr>
        <w:t xml:space="preserve"> </w:t>
      </w:r>
      <w:proofErr w:type="spellStart"/>
      <w:r w:rsidR="009C008E" w:rsidRPr="00BC6602">
        <w:rPr>
          <w:lang w:val="en-US"/>
        </w:rPr>
        <w:t>hjemmeside</w:t>
      </w:r>
      <w:proofErr w:type="spellEnd"/>
      <w:r w:rsidR="009C008E" w:rsidRPr="00BC6602">
        <w:rPr>
          <w:lang w:val="en-US"/>
        </w:rPr>
        <w:t xml:space="preserve"> </w:t>
      </w:r>
      <w:proofErr w:type="spellStart"/>
      <w:r w:rsidR="009C008E" w:rsidRPr="00BC6602">
        <w:rPr>
          <w:lang w:val="en-US"/>
        </w:rPr>
        <w:t>fremgår</w:t>
      </w:r>
      <w:proofErr w:type="spellEnd"/>
      <w:r w:rsidR="00BC6602">
        <w:rPr>
          <w:lang w:val="en-US"/>
        </w:rPr>
        <w:t xml:space="preserve"> </w:t>
      </w:r>
      <w:proofErr w:type="spellStart"/>
      <w:r w:rsidR="00BC6602">
        <w:rPr>
          <w:lang w:val="en-US"/>
        </w:rPr>
        <w:t>følgende</w:t>
      </w:r>
      <w:proofErr w:type="spellEnd"/>
      <w:r w:rsidR="009C008E" w:rsidRPr="00BC6602">
        <w:rPr>
          <w:lang w:val="en-US"/>
        </w:rPr>
        <w:t xml:space="preserve">: </w:t>
      </w:r>
    </w:p>
    <w:p w14:paraId="35FD53A2" w14:textId="77777777" w:rsidR="009C008E" w:rsidRPr="00BC6602" w:rsidRDefault="009C008E" w:rsidP="00E37702">
      <w:pPr>
        <w:rPr>
          <w:lang w:val="en-US"/>
        </w:rPr>
      </w:pPr>
    </w:p>
    <w:p w14:paraId="10985F59" w14:textId="07D2CB03" w:rsidR="009C008E" w:rsidRPr="00BC6602" w:rsidRDefault="009C008E" w:rsidP="00BC6602">
      <w:pPr>
        <w:ind w:left="1304"/>
        <w:rPr>
          <w:i/>
          <w:iCs/>
          <w:lang w:val="en-US"/>
        </w:rPr>
      </w:pPr>
      <w:proofErr w:type="gramStart"/>
      <w:r w:rsidRPr="00BC6602">
        <w:rPr>
          <w:lang w:val="en-US"/>
        </w:rPr>
        <w:t>”</w:t>
      </w:r>
      <w:r w:rsidRPr="00BC6602">
        <w:rPr>
          <w:i/>
          <w:iCs/>
          <w:lang w:val="en-US"/>
        </w:rPr>
        <w:t>What</w:t>
      </w:r>
      <w:proofErr w:type="gramEnd"/>
      <w:r w:rsidRPr="00BC6602">
        <w:rPr>
          <w:i/>
          <w:iCs/>
          <w:lang w:val="en-US"/>
        </w:rPr>
        <w:t xml:space="preserve"> is customer content?</w:t>
      </w:r>
    </w:p>
    <w:p w14:paraId="408E9919" w14:textId="77777777" w:rsidR="009C008E" w:rsidRPr="00BC6602" w:rsidRDefault="009C008E" w:rsidP="00BC6602">
      <w:pPr>
        <w:ind w:left="1304"/>
        <w:rPr>
          <w:i/>
          <w:iCs/>
          <w:lang w:val="en-US"/>
        </w:rPr>
      </w:pPr>
      <w:r w:rsidRPr="00BC6602">
        <w:rPr>
          <w:i/>
          <w:iCs/>
          <w:lang w:val="en-US"/>
        </w:rPr>
        <w:t>Customer content is the data created by users of Microsoft 365 services and applications. Examples of customer content include:</w:t>
      </w:r>
    </w:p>
    <w:p w14:paraId="39941DAA" w14:textId="77777777" w:rsidR="009C008E" w:rsidRPr="00BC6602" w:rsidRDefault="009C008E" w:rsidP="00BC6602">
      <w:pPr>
        <w:ind w:left="1304"/>
        <w:rPr>
          <w:i/>
          <w:iCs/>
          <w:lang w:val="en-US"/>
        </w:rPr>
      </w:pPr>
    </w:p>
    <w:p w14:paraId="0242C479" w14:textId="77777777" w:rsidR="009C008E" w:rsidRPr="00BC6602" w:rsidRDefault="009C008E" w:rsidP="00BC6602">
      <w:pPr>
        <w:pStyle w:val="Listeafsnit"/>
        <w:numPr>
          <w:ilvl w:val="0"/>
          <w:numId w:val="66"/>
        </w:numPr>
        <w:ind w:left="2024"/>
        <w:rPr>
          <w:i/>
          <w:iCs/>
          <w:lang w:val="en-US"/>
        </w:rPr>
      </w:pPr>
      <w:r w:rsidRPr="00BC6602">
        <w:rPr>
          <w:i/>
          <w:iCs/>
          <w:lang w:val="en-US"/>
        </w:rPr>
        <w:t>Email body or email attachments</w:t>
      </w:r>
    </w:p>
    <w:p w14:paraId="57C68536" w14:textId="77777777" w:rsidR="009C008E" w:rsidRPr="00BC6602" w:rsidRDefault="009C008E" w:rsidP="00BC6602">
      <w:pPr>
        <w:pStyle w:val="Listeafsnit"/>
        <w:numPr>
          <w:ilvl w:val="0"/>
          <w:numId w:val="66"/>
        </w:numPr>
        <w:ind w:left="2024"/>
        <w:rPr>
          <w:i/>
          <w:iCs/>
          <w:lang w:val="en-US"/>
        </w:rPr>
      </w:pPr>
      <w:r w:rsidRPr="00BC6602">
        <w:rPr>
          <w:i/>
          <w:iCs/>
          <w:lang w:val="en-US"/>
        </w:rPr>
        <w:t>SharePoint site contents</w:t>
      </w:r>
    </w:p>
    <w:p w14:paraId="446F8A17" w14:textId="77777777" w:rsidR="009C008E" w:rsidRPr="00BC6602" w:rsidRDefault="009C008E" w:rsidP="00BC6602">
      <w:pPr>
        <w:pStyle w:val="Listeafsnit"/>
        <w:numPr>
          <w:ilvl w:val="0"/>
          <w:numId w:val="66"/>
        </w:numPr>
        <w:ind w:left="2024"/>
        <w:rPr>
          <w:i/>
          <w:iCs/>
          <w:lang w:val="en-US"/>
        </w:rPr>
      </w:pPr>
      <w:r w:rsidRPr="00BC6602">
        <w:rPr>
          <w:i/>
          <w:iCs/>
          <w:lang w:val="en-US"/>
        </w:rPr>
        <w:t>Information in the body of a SharePoint file</w:t>
      </w:r>
    </w:p>
    <w:p w14:paraId="637E5FB3" w14:textId="77777777" w:rsidR="009C008E" w:rsidRPr="00BC6602" w:rsidRDefault="009C008E" w:rsidP="00BC6602">
      <w:pPr>
        <w:pStyle w:val="Listeafsnit"/>
        <w:numPr>
          <w:ilvl w:val="0"/>
          <w:numId w:val="66"/>
        </w:numPr>
        <w:ind w:left="2024"/>
        <w:rPr>
          <w:i/>
          <w:iCs/>
          <w:lang w:val="en-US"/>
        </w:rPr>
      </w:pPr>
      <w:r w:rsidRPr="00BC6602">
        <w:rPr>
          <w:i/>
          <w:iCs/>
          <w:lang w:val="en-US"/>
        </w:rPr>
        <w:t>Skype for Business presentation file body</w:t>
      </w:r>
    </w:p>
    <w:p w14:paraId="2A32CA06" w14:textId="77777777" w:rsidR="009C008E" w:rsidRPr="00BC6602" w:rsidRDefault="009C008E" w:rsidP="00BC6602">
      <w:pPr>
        <w:pStyle w:val="Listeafsnit"/>
        <w:numPr>
          <w:ilvl w:val="0"/>
          <w:numId w:val="66"/>
        </w:numPr>
        <w:ind w:left="2024"/>
        <w:rPr>
          <w:i/>
          <w:iCs/>
          <w:lang w:val="en-US"/>
        </w:rPr>
      </w:pPr>
      <w:r w:rsidRPr="00BC6602">
        <w:rPr>
          <w:i/>
          <w:iCs/>
          <w:lang w:val="en-US"/>
        </w:rPr>
        <w:t>Instant messages (IM) or voice conversations</w:t>
      </w:r>
    </w:p>
    <w:p w14:paraId="50838302" w14:textId="77777777" w:rsidR="009C008E" w:rsidRPr="00BC6602" w:rsidRDefault="009C008E" w:rsidP="00BC6602">
      <w:pPr>
        <w:pStyle w:val="Listeafsnit"/>
        <w:numPr>
          <w:ilvl w:val="0"/>
          <w:numId w:val="66"/>
        </w:numPr>
        <w:ind w:left="2024"/>
        <w:rPr>
          <w:i/>
          <w:iCs/>
          <w:lang w:val="en-US"/>
        </w:rPr>
      </w:pPr>
      <w:r w:rsidRPr="00BC6602">
        <w:rPr>
          <w:i/>
          <w:iCs/>
          <w:lang w:val="en-US"/>
        </w:rPr>
        <w:t xml:space="preserve">Text entered in Teams chats and Teams channels, for example, 1:1 </w:t>
      </w:r>
      <w:proofErr w:type="gramStart"/>
      <w:r w:rsidRPr="00BC6602">
        <w:rPr>
          <w:i/>
          <w:iCs/>
          <w:lang w:val="en-US"/>
        </w:rPr>
        <w:t>chats</w:t>
      </w:r>
      <w:proofErr w:type="gramEnd"/>
      <w:r w:rsidRPr="00BC6602">
        <w:rPr>
          <w:i/>
          <w:iCs/>
          <w:lang w:val="en-US"/>
        </w:rPr>
        <w:t>, group chats, shared channels, private channels, and meeting chat</w:t>
      </w:r>
    </w:p>
    <w:p w14:paraId="6F946930" w14:textId="77777777" w:rsidR="009C008E" w:rsidRPr="00BC6602" w:rsidRDefault="009C008E" w:rsidP="00BC6602">
      <w:pPr>
        <w:pStyle w:val="Listeafsnit"/>
        <w:numPr>
          <w:ilvl w:val="0"/>
          <w:numId w:val="66"/>
        </w:numPr>
        <w:ind w:left="2024"/>
        <w:rPr>
          <w:i/>
          <w:iCs/>
          <w:lang w:val="en-US"/>
        </w:rPr>
      </w:pPr>
      <w:r w:rsidRPr="00BC6602">
        <w:rPr>
          <w:i/>
          <w:iCs/>
          <w:lang w:val="en-US"/>
        </w:rPr>
        <w:t>Other data pasted into Teams chat threads, such as code snippets, images, audio and video messages, and links</w:t>
      </w:r>
    </w:p>
    <w:p w14:paraId="742BAA90" w14:textId="77777777" w:rsidR="009C008E" w:rsidRPr="00BC6602" w:rsidRDefault="009C008E" w:rsidP="00BC6602">
      <w:pPr>
        <w:pStyle w:val="Listeafsnit"/>
        <w:numPr>
          <w:ilvl w:val="0"/>
          <w:numId w:val="66"/>
        </w:numPr>
        <w:ind w:left="2024"/>
        <w:rPr>
          <w:i/>
          <w:iCs/>
          <w:lang w:val="en-US"/>
        </w:rPr>
      </w:pPr>
      <w:r w:rsidRPr="00BC6602">
        <w:rPr>
          <w:i/>
          <w:iCs/>
          <w:lang w:val="en-US"/>
        </w:rPr>
        <w:t>App and bot data in Teams chats and Teams channels</w:t>
      </w:r>
    </w:p>
    <w:p w14:paraId="6283EB7D" w14:textId="77777777" w:rsidR="009C008E" w:rsidRPr="00BC6602" w:rsidRDefault="009C008E" w:rsidP="00BC6602">
      <w:pPr>
        <w:pStyle w:val="Listeafsnit"/>
        <w:numPr>
          <w:ilvl w:val="0"/>
          <w:numId w:val="66"/>
        </w:numPr>
        <w:ind w:left="2024"/>
        <w:rPr>
          <w:i/>
          <w:iCs/>
          <w:lang w:val="en-US"/>
        </w:rPr>
      </w:pPr>
      <w:proofErr w:type="gramStart"/>
      <w:r w:rsidRPr="00BC6602">
        <w:rPr>
          <w:i/>
          <w:iCs/>
          <w:lang w:val="en-US"/>
        </w:rPr>
        <w:t>Teams</w:t>
      </w:r>
      <w:proofErr w:type="gramEnd"/>
      <w:r w:rsidRPr="00BC6602">
        <w:rPr>
          <w:i/>
          <w:iCs/>
          <w:lang w:val="en-US"/>
        </w:rPr>
        <w:t xml:space="preserve"> activity feed</w:t>
      </w:r>
    </w:p>
    <w:p w14:paraId="3997A339" w14:textId="77777777" w:rsidR="009C008E" w:rsidRPr="00BC6602" w:rsidRDefault="009C008E" w:rsidP="00BC6602">
      <w:pPr>
        <w:pStyle w:val="Listeafsnit"/>
        <w:numPr>
          <w:ilvl w:val="0"/>
          <w:numId w:val="66"/>
        </w:numPr>
        <w:ind w:left="2024"/>
        <w:rPr>
          <w:i/>
          <w:iCs/>
          <w:lang w:val="en-US"/>
        </w:rPr>
      </w:pPr>
      <w:r w:rsidRPr="00BC6602">
        <w:rPr>
          <w:i/>
          <w:iCs/>
          <w:lang w:val="en-US"/>
        </w:rPr>
        <w:t>Teams meeting recordings and transcripts</w:t>
      </w:r>
    </w:p>
    <w:p w14:paraId="66C35FED" w14:textId="77777777" w:rsidR="009C008E" w:rsidRPr="00BC6602" w:rsidRDefault="009C008E" w:rsidP="00BC6602">
      <w:pPr>
        <w:pStyle w:val="Listeafsnit"/>
        <w:numPr>
          <w:ilvl w:val="0"/>
          <w:numId w:val="66"/>
        </w:numPr>
        <w:ind w:left="2024"/>
        <w:rPr>
          <w:i/>
          <w:iCs/>
          <w:lang w:val="en-US"/>
        </w:rPr>
      </w:pPr>
      <w:r w:rsidRPr="00BC6602">
        <w:rPr>
          <w:i/>
          <w:iCs/>
          <w:lang w:val="en-US"/>
        </w:rPr>
        <w:t>Voicemail</w:t>
      </w:r>
    </w:p>
    <w:p w14:paraId="7AC7FE70" w14:textId="77777777" w:rsidR="009C008E" w:rsidRPr="00BC6602" w:rsidRDefault="009C008E" w:rsidP="00BC6602">
      <w:pPr>
        <w:pStyle w:val="Listeafsnit"/>
        <w:numPr>
          <w:ilvl w:val="0"/>
          <w:numId w:val="66"/>
        </w:numPr>
        <w:ind w:left="2024"/>
        <w:rPr>
          <w:i/>
          <w:iCs/>
          <w:lang w:val="en-US"/>
        </w:rPr>
      </w:pPr>
      <w:r w:rsidRPr="00BC6602">
        <w:rPr>
          <w:i/>
          <w:iCs/>
          <w:lang w:val="en-US"/>
        </w:rPr>
        <w:t>Files posted to Teams chats and Teams channels</w:t>
      </w:r>
    </w:p>
    <w:p w14:paraId="6ED8A29C" w14:textId="77777777" w:rsidR="009C008E" w:rsidRPr="00BC6602" w:rsidRDefault="009C008E" w:rsidP="00BC6602">
      <w:pPr>
        <w:pStyle w:val="Listeafsnit"/>
        <w:numPr>
          <w:ilvl w:val="0"/>
          <w:numId w:val="66"/>
        </w:numPr>
        <w:ind w:left="2024"/>
        <w:rPr>
          <w:i/>
          <w:iCs/>
          <w:lang w:val="en-US"/>
        </w:rPr>
      </w:pPr>
      <w:r w:rsidRPr="00BC6602">
        <w:rPr>
          <w:i/>
          <w:iCs/>
          <w:lang w:val="en-US"/>
        </w:rPr>
        <w:lastRenderedPageBreak/>
        <w:t>Microsoft Copilot for Microsoft 365 interactions</w:t>
      </w:r>
    </w:p>
    <w:p w14:paraId="306836F4" w14:textId="77777777" w:rsidR="009C008E" w:rsidRPr="00BC6602" w:rsidRDefault="009C008E" w:rsidP="00BC6602">
      <w:pPr>
        <w:pStyle w:val="Listeafsnit"/>
        <w:numPr>
          <w:ilvl w:val="0"/>
          <w:numId w:val="66"/>
        </w:numPr>
        <w:ind w:left="2024"/>
        <w:rPr>
          <w:i/>
          <w:iCs/>
          <w:lang w:val="en-US"/>
        </w:rPr>
      </w:pPr>
      <w:r w:rsidRPr="00BC6602">
        <w:rPr>
          <w:i/>
          <w:iCs/>
          <w:lang w:val="en-US"/>
        </w:rPr>
        <w:t>Customer-generated blob or structured storage data (for example, SQL Containers)</w:t>
      </w:r>
    </w:p>
    <w:p w14:paraId="09FB70D7" w14:textId="77777777" w:rsidR="009C008E" w:rsidRPr="00BC6602" w:rsidRDefault="009C008E" w:rsidP="00BC6602">
      <w:pPr>
        <w:pStyle w:val="Listeafsnit"/>
        <w:numPr>
          <w:ilvl w:val="0"/>
          <w:numId w:val="66"/>
        </w:numPr>
        <w:ind w:left="2024"/>
        <w:rPr>
          <w:i/>
          <w:iCs/>
          <w:lang w:val="en-US"/>
        </w:rPr>
      </w:pPr>
      <w:r w:rsidRPr="00BC6602">
        <w:rPr>
          <w:i/>
          <w:iCs/>
          <w:lang w:val="en-US"/>
        </w:rPr>
        <w:t>Customer-owned security information (for example, certificates, encryption keys, and passwords)</w:t>
      </w:r>
    </w:p>
    <w:p w14:paraId="7417E3C4" w14:textId="77777777" w:rsidR="009C008E" w:rsidRPr="009C008E" w:rsidRDefault="009C008E" w:rsidP="00BC6602">
      <w:pPr>
        <w:pStyle w:val="Listeafsnit"/>
        <w:numPr>
          <w:ilvl w:val="0"/>
          <w:numId w:val="66"/>
        </w:numPr>
        <w:ind w:left="2024"/>
        <w:rPr>
          <w:lang w:val="en-US"/>
        </w:rPr>
      </w:pPr>
      <w:r w:rsidRPr="00BC6602">
        <w:rPr>
          <w:i/>
          <w:iCs/>
          <w:lang w:val="en-US"/>
        </w:rPr>
        <w:t>Inferences, and all subsequent inferences, if customer content remains</w:t>
      </w:r>
      <w:r w:rsidRPr="009C008E">
        <w:rPr>
          <w:lang w:val="en-US"/>
        </w:rPr>
        <w:t>”</w:t>
      </w:r>
    </w:p>
    <w:p w14:paraId="4FF57F05" w14:textId="62CCC76A" w:rsidR="009C008E" w:rsidRDefault="009C008E" w:rsidP="009C008E">
      <w:pPr>
        <w:rPr>
          <w:lang w:val="en-US"/>
        </w:rPr>
      </w:pPr>
    </w:p>
    <w:p w14:paraId="609AEAC1" w14:textId="65032E13" w:rsidR="00E37702" w:rsidRPr="009C008E" w:rsidRDefault="009C008E" w:rsidP="009C008E">
      <w:r>
        <w:t>Der er dermed et meget væsentligt sammenfald mellem ”</w:t>
      </w:r>
      <w:proofErr w:type="spellStart"/>
      <w:r>
        <w:t>customer</w:t>
      </w:r>
      <w:proofErr w:type="spellEnd"/>
      <w:r>
        <w:t xml:space="preserve"> content” og data,</w:t>
      </w:r>
      <w:r w:rsidR="00E37702" w:rsidRPr="009C008E">
        <w:t xml:space="preserve"> som i andre sammenhænge defineres som ”Customer Data”. </w:t>
      </w:r>
    </w:p>
    <w:p w14:paraId="322CDC2F" w14:textId="77777777" w:rsidR="00E37702" w:rsidRPr="009C008E" w:rsidRDefault="00E37702" w:rsidP="00E37702"/>
    <w:p w14:paraId="7E07CA64" w14:textId="166E7B8C" w:rsidR="00E37702" w:rsidRPr="00DC4F35" w:rsidRDefault="00E37702" w:rsidP="00E37702">
      <w:proofErr w:type="spellStart"/>
      <w:r w:rsidRPr="00DC4F35">
        <w:t>Lockbox</w:t>
      </w:r>
      <w:proofErr w:type="spellEnd"/>
      <w:r w:rsidRPr="00DC4F35">
        <w:t xml:space="preserve"> finder efter </w:t>
      </w:r>
      <w:proofErr w:type="gramStart"/>
      <w:r w:rsidR="00557DC2" w:rsidRPr="00DC4F35">
        <w:t xml:space="preserve">det </w:t>
      </w:r>
      <w:r w:rsidRPr="00DC4F35">
        <w:t>anførte anvendelse</w:t>
      </w:r>
      <w:proofErr w:type="gramEnd"/>
      <w:r w:rsidRPr="00DC4F35">
        <w:t xml:space="preserve"> ved ”service operations”, der heller ikke er defineret eller nærmere beskrevet af Microsoft. Med udgangspunkt i de eksempler mm., der fremgår af Microsofts beskrivelse af </w:t>
      </w:r>
      <w:proofErr w:type="spellStart"/>
      <w:r w:rsidRPr="00DC4F35">
        <w:t>Lockbox</w:t>
      </w:r>
      <w:proofErr w:type="spellEnd"/>
      <w:r w:rsidR="00557DC2" w:rsidRPr="00DC4F35">
        <w:t>-</w:t>
      </w:r>
      <w:r w:rsidRPr="00DC4F35">
        <w:t>servicen på hjemmesiden, må det formodes, at der er tale om handlinger</w:t>
      </w:r>
      <w:r w:rsidR="00557DC2" w:rsidRPr="00DC4F35">
        <w:t>, der er</w:t>
      </w:r>
      <w:r w:rsidRPr="00DC4F35">
        <w:t xml:space="preserve"> nødvendige for at udføre support og vedligeholdelse i tilknytning til de tjenester, som kunden anvender, herunder f.eks. fejlsøgninger, fejlrettelser mm. </w:t>
      </w:r>
    </w:p>
    <w:p w14:paraId="0BEC5DEF" w14:textId="77777777" w:rsidR="00E37702" w:rsidRPr="00DC4F35" w:rsidRDefault="00E37702" w:rsidP="00E37702"/>
    <w:p w14:paraId="05DC5A31" w14:textId="77777777" w:rsidR="00E37702" w:rsidRPr="001C19E7" w:rsidRDefault="00E37702" w:rsidP="00E37702">
      <w:pPr>
        <w:rPr>
          <w:lang w:val="en-US"/>
        </w:rPr>
      </w:pPr>
      <w:proofErr w:type="spellStart"/>
      <w:r w:rsidRPr="00DC4F35">
        <w:t>Lockbox</w:t>
      </w:r>
      <w:proofErr w:type="spellEnd"/>
      <w:r w:rsidRPr="00DC4F35">
        <w:t xml:space="preserve"> forhindrer dog ikke, at Microsofts personale kan få adgang til Customer Data i tilfælde, der ikke vedrører ”service operations”. </w:t>
      </w:r>
      <w:r w:rsidRPr="001C19E7">
        <w:rPr>
          <w:lang w:val="en-US"/>
        </w:rPr>
        <w:t xml:space="preserve">Det </w:t>
      </w:r>
      <w:proofErr w:type="spellStart"/>
      <w:r w:rsidRPr="001C19E7">
        <w:rPr>
          <w:lang w:val="en-US"/>
        </w:rPr>
        <w:t>fremgår</w:t>
      </w:r>
      <w:proofErr w:type="spellEnd"/>
      <w:r w:rsidRPr="001C19E7">
        <w:rPr>
          <w:lang w:val="en-US"/>
        </w:rPr>
        <w:t xml:space="preserve"> </w:t>
      </w:r>
      <w:proofErr w:type="spellStart"/>
      <w:r w:rsidRPr="001C19E7">
        <w:rPr>
          <w:lang w:val="en-US"/>
        </w:rPr>
        <w:t>f.eks</w:t>
      </w:r>
      <w:proofErr w:type="spellEnd"/>
      <w:r w:rsidRPr="001C19E7">
        <w:rPr>
          <w:lang w:val="en-US"/>
        </w:rPr>
        <w:t xml:space="preserve">. </w:t>
      </w:r>
      <w:proofErr w:type="spellStart"/>
      <w:r w:rsidRPr="001C19E7">
        <w:rPr>
          <w:lang w:val="en-US"/>
        </w:rPr>
        <w:t>af</w:t>
      </w:r>
      <w:proofErr w:type="spellEnd"/>
      <w:r w:rsidRPr="001C19E7">
        <w:rPr>
          <w:lang w:val="en-US"/>
        </w:rPr>
        <w:t xml:space="preserve"> </w:t>
      </w:r>
      <w:proofErr w:type="spellStart"/>
      <w:r w:rsidRPr="001C19E7">
        <w:rPr>
          <w:lang w:val="en-US"/>
        </w:rPr>
        <w:t>Microsofts</w:t>
      </w:r>
      <w:proofErr w:type="spellEnd"/>
      <w:r w:rsidRPr="001C19E7">
        <w:rPr>
          <w:lang w:val="en-US"/>
        </w:rPr>
        <w:t xml:space="preserve"> </w:t>
      </w:r>
      <w:proofErr w:type="spellStart"/>
      <w:r w:rsidRPr="001C19E7">
        <w:rPr>
          <w:lang w:val="en-US"/>
        </w:rPr>
        <w:t>hjemmeside</w:t>
      </w:r>
      <w:proofErr w:type="spellEnd"/>
      <w:r w:rsidRPr="001C19E7">
        <w:rPr>
          <w:lang w:val="en-US"/>
        </w:rPr>
        <w:t xml:space="preserve">: </w:t>
      </w:r>
    </w:p>
    <w:p w14:paraId="717CBE66" w14:textId="77777777" w:rsidR="00E37702" w:rsidRPr="001C19E7" w:rsidRDefault="00E37702" w:rsidP="00E37702">
      <w:pPr>
        <w:rPr>
          <w:lang w:val="en-US"/>
        </w:rPr>
      </w:pPr>
    </w:p>
    <w:p w14:paraId="59A13C86" w14:textId="77777777" w:rsidR="00E37702" w:rsidRPr="001C19E7" w:rsidRDefault="00E37702" w:rsidP="00142011">
      <w:pPr>
        <w:ind w:left="1276"/>
        <w:rPr>
          <w:b/>
          <w:bCs/>
          <w:i/>
          <w:iCs/>
          <w:lang w:val="en-US"/>
        </w:rPr>
      </w:pPr>
      <w:r w:rsidRPr="001C19E7">
        <w:rPr>
          <w:b/>
          <w:bCs/>
          <w:i/>
          <w:iCs/>
          <w:lang w:val="en-US"/>
        </w:rPr>
        <w:t>“Does Customer Lockbox protect against data requests from law enforcement agencies or other third parties?</w:t>
      </w:r>
    </w:p>
    <w:p w14:paraId="199BC90F" w14:textId="77777777" w:rsidR="00E37702" w:rsidRPr="001C19E7" w:rsidRDefault="00E37702" w:rsidP="00142011">
      <w:pPr>
        <w:ind w:left="1276"/>
        <w:rPr>
          <w:i/>
          <w:iCs/>
          <w:lang w:val="en-US"/>
        </w:rPr>
      </w:pPr>
    </w:p>
    <w:p w14:paraId="087CF8E7" w14:textId="77777777" w:rsidR="00E37702" w:rsidRPr="001C19E7" w:rsidRDefault="00E37702" w:rsidP="00142011">
      <w:pPr>
        <w:ind w:left="1276"/>
        <w:rPr>
          <w:i/>
          <w:iCs/>
          <w:lang w:val="en-US"/>
        </w:rPr>
      </w:pPr>
      <w:r w:rsidRPr="001C19E7">
        <w:rPr>
          <w:i/>
          <w:iCs/>
          <w:lang w:val="en-US"/>
        </w:rPr>
        <w:t>No. Microsoft takes third-party requests for customer data seriously. As a cloud service provider, Microsoft always advocates for the privacy of customer data. In the event we get a subpoena, Microsoft always attempts to redirect the third party to the customer to obtain the information. (Read Brad Smith's blog: Protecting customer data from government snooping). We periodically publish detailed information about the law enforcement requests that Microsoft receives.</w:t>
      </w:r>
    </w:p>
    <w:p w14:paraId="3D656F17" w14:textId="77777777" w:rsidR="00E37702" w:rsidRPr="001C19E7" w:rsidRDefault="00E37702" w:rsidP="00E37702">
      <w:pPr>
        <w:ind w:left="567"/>
        <w:rPr>
          <w:i/>
          <w:iCs/>
          <w:lang w:val="en-US"/>
        </w:rPr>
      </w:pPr>
    </w:p>
    <w:p w14:paraId="77638F88" w14:textId="77777777" w:rsidR="00E37702" w:rsidRPr="001C19E7" w:rsidRDefault="00E37702" w:rsidP="00142011">
      <w:pPr>
        <w:ind w:left="1276"/>
        <w:rPr>
          <w:i/>
          <w:iCs/>
          <w:lang w:val="en-US"/>
        </w:rPr>
      </w:pPr>
      <w:r w:rsidRPr="001C19E7">
        <w:rPr>
          <w:i/>
          <w:iCs/>
          <w:lang w:val="en-US"/>
        </w:rPr>
        <w:t>See the Microsoft Trust Center regarding third-party data requests and the "Disclosure of Customer Data" section in the Online Services Terms for more information.”</w:t>
      </w:r>
    </w:p>
    <w:p w14:paraId="41864DDE" w14:textId="77777777" w:rsidR="00E37702" w:rsidRPr="001C19E7" w:rsidRDefault="00E37702" w:rsidP="00142011">
      <w:pPr>
        <w:ind w:left="1276"/>
        <w:rPr>
          <w:lang w:val="en-US"/>
        </w:rPr>
      </w:pPr>
    </w:p>
    <w:p w14:paraId="786897DF" w14:textId="1A846FA6" w:rsidR="00E37702" w:rsidRPr="00DC4F35" w:rsidRDefault="00E37702" w:rsidP="00E37702">
      <w:r w:rsidRPr="00DC4F35">
        <w:t>På samme måde må Microsofts personale formodes at kunne få adgang, når dette er nødvendigt med henblik på at opretholde tjenesterne og på “</w:t>
      </w:r>
      <w:proofErr w:type="spellStart"/>
      <w:r w:rsidRPr="00DC4F35">
        <w:t>protecting</w:t>
      </w:r>
      <w:proofErr w:type="spellEnd"/>
      <w:r w:rsidRPr="00DC4F35">
        <w:t xml:space="preserve"> </w:t>
      </w:r>
      <w:proofErr w:type="spellStart"/>
      <w:r w:rsidRPr="00DC4F35">
        <w:t>customers</w:t>
      </w:r>
      <w:proofErr w:type="spellEnd"/>
      <w:r w:rsidRPr="00DC4F35">
        <w:t xml:space="preserve">”, som nærmere beskrevet netop ovenfor samt i afsnit </w:t>
      </w:r>
      <w:r w:rsidRPr="00DC4F35">
        <w:fldChar w:fldCharType="begin"/>
      </w:r>
      <w:r w:rsidRPr="00DC4F35">
        <w:instrText xml:space="preserve"> REF _Ref160528916 \r \h </w:instrText>
      </w:r>
      <w:r w:rsidRPr="00DC4F35">
        <w:fldChar w:fldCharType="separate"/>
      </w:r>
      <w:r w:rsidR="00C05EBE">
        <w:t>3.3.1.2</w:t>
      </w:r>
      <w:r w:rsidRPr="00DC4F35">
        <w:fldChar w:fldCharType="end"/>
      </w:r>
      <w:r w:rsidRPr="00DC4F35">
        <w:t xml:space="preserve">. </w:t>
      </w:r>
    </w:p>
    <w:p w14:paraId="49E6384C" w14:textId="77777777" w:rsidR="00E37702" w:rsidRPr="00DC4F35" w:rsidRDefault="00E37702" w:rsidP="00E37702"/>
    <w:p w14:paraId="5866020F" w14:textId="5F97495C" w:rsidR="00E37702" w:rsidRPr="00DC4F35" w:rsidRDefault="00E37702" w:rsidP="00E37702">
      <w:r w:rsidRPr="00DC4F35">
        <w:lastRenderedPageBreak/>
        <w:t xml:space="preserve">Dette er også beskrevet på Microsofts hjemmeside i relation til brug af Customer </w:t>
      </w:r>
      <w:proofErr w:type="spellStart"/>
      <w:r w:rsidRPr="00DC4F35">
        <w:t>Lockbox</w:t>
      </w:r>
      <w:proofErr w:type="spellEnd"/>
      <w:r w:rsidRPr="00DC4F35">
        <w:t xml:space="preserve"> sammen med </w:t>
      </w:r>
      <w:proofErr w:type="spellStart"/>
      <w:r w:rsidRPr="00DC4F35">
        <w:t>Azure</w:t>
      </w:r>
      <w:proofErr w:type="spellEnd"/>
      <w:r w:rsidRPr="00DC4F35">
        <w:t>-services</w:t>
      </w:r>
      <w:r w:rsidRPr="00DC4F35">
        <w:rPr>
          <w:rStyle w:val="Fodnotehenvisning"/>
        </w:rPr>
        <w:footnoteReference w:id="41"/>
      </w:r>
      <w:r w:rsidRPr="00DC4F35">
        <w:t xml:space="preserve">: </w:t>
      </w:r>
    </w:p>
    <w:p w14:paraId="5C69CD11" w14:textId="77777777" w:rsidR="00E37702" w:rsidRPr="00DC4F35" w:rsidRDefault="00E37702" w:rsidP="00E37702">
      <w:pPr>
        <w:ind w:left="567"/>
        <w:rPr>
          <w:i/>
          <w:iCs/>
        </w:rPr>
      </w:pPr>
    </w:p>
    <w:p w14:paraId="61ECFA49" w14:textId="77777777" w:rsidR="00E37702" w:rsidRPr="001C19E7" w:rsidRDefault="00E37702" w:rsidP="00142011">
      <w:pPr>
        <w:ind w:left="1276"/>
        <w:rPr>
          <w:b/>
          <w:bCs/>
          <w:i/>
          <w:iCs/>
          <w:lang w:val="en-US"/>
        </w:rPr>
      </w:pPr>
      <w:r w:rsidRPr="001C19E7">
        <w:rPr>
          <w:b/>
          <w:bCs/>
          <w:i/>
          <w:iCs/>
          <w:lang w:val="en-US"/>
        </w:rPr>
        <w:t>“Exclusions</w:t>
      </w:r>
    </w:p>
    <w:p w14:paraId="5B4ABF0D" w14:textId="77777777" w:rsidR="00E37702" w:rsidRPr="001C19E7" w:rsidRDefault="00E37702" w:rsidP="00142011">
      <w:pPr>
        <w:ind w:left="1276"/>
        <w:rPr>
          <w:i/>
          <w:iCs/>
          <w:lang w:val="en-US"/>
        </w:rPr>
      </w:pPr>
      <w:r w:rsidRPr="001C19E7">
        <w:rPr>
          <w:i/>
          <w:iCs/>
          <w:lang w:val="en-US"/>
        </w:rPr>
        <w:t>Customer Lockbox requests are not triggered in the following scenarios:</w:t>
      </w:r>
    </w:p>
    <w:p w14:paraId="5D902B37" w14:textId="77777777" w:rsidR="00E37702" w:rsidRPr="001C19E7" w:rsidRDefault="00E37702" w:rsidP="00142011">
      <w:pPr>
        <w:ind w:left="1276"/>
        <w:rPr>
          <w:i/>
          <w:iCs/>
          <w:lang w:val="en-US"/>
        </w:rPr>
      </w:pPr>
    </w:p>
    <w:p w14:paraId="7ED6C07B" w14:textId="77777777" w:rsidR="00E37702" w:rsidRPr="001C19E7" w:rsidRDefault="00E37702" w:rsidP="00142011">
      <w:pPr>
        <w:ind w:left="1276"/>
        <w:rPr>
          <w:i/>
          <w:iCs/>
          <w:lang w:val="en-US"/>
        </w:rPr>
      </w:pPr>
      <w:r w:rsidRPr="001C19E7">
        <w:rPr>
          <w:i/>
          <w:iCs/>
          <w:lang w:val="en-US"/>
        </w:rPr>
        <w:t>Emergency scenarios that fall outside of standard operating procedures. For example, a major service outage requires immediate attention to recover or restore services in an unexpected or unpredictable scenario. These “break glass” events are rare and, in most instances, do not require any access to customer data to resolve.</w:t>
      </w:r>
    </w:p>
    <w:p w14:paraId="0FA33748" w14:textId="77777777" w:rsidR="00E37702" w:rsidRPr="001C19E7" w:rsidRDefault="00E37702" w:rsidP="00142011">
      <w:pPr>
        <w:ind w:left="1276"/>
        <w:rPr>
          <w:i/>
          <w:iCs/>
          <w:lang w:val="en-US"/>
        </w:rPr>
      </w:pPr>
    </w:p>
    <w:p w14:paraId="038C7DBB" w14:textId="77777777" w:rsidR="00E37702" w:rsidRPr="001C19E7" w:rsidRDefault="00E37702" w:rsidP="00142011">
      <w:pPr>
        <w:ind w:left="1276"/>
        <w:rPr>
          <w:i/>
          <w:iCs/>
          <w:lang w:val="en-US"/>
        </w:rPr>
      </w:pPr>
      <w:r w:rsidRPr="001C19E7">
        <w:rPr>
          <w:i/>
          <w:iCs/>
          <w:lang w:val="en-US"/>
        </w:rPr>
        <w:t>A Microsoft engineer accesses the Azure platform as part of troubleshooting and is inadvertently exposed to customer data. For example, the Azure Network Team performs troubleshooting that results in a packet capture on a network device. It is rare that such scenarios would result in access to meaningful quantities of customer data. Customers can further protect their data through the use of Customer-managed keys (CMK), which is available for some Azure service. For more information see Overview of Key Management in Azure.</w:t>
      </w:r>
    </w:p>
    <w:p w14:paraId="3FC027BB" w14:textId="77777777" w:rsidR="00E37702" w:rsidRPr="001C19E7" w:rsidRDefault="00E37702" w:rsidP="00142011">
      <w:pPr>
        <w:ind w:left="1276"/>
        <w:rPr>
          <w:i/>
          <w:iCs/>
          <w:lang w:val="en-US"/>
        </w:rPr>
      </w:pPr>
    </w:p>
    <w:p w14:paraId="49C0FEA2" w14:textId="77777777" w:rsidR="00E37702" w:rsidRPr="001C19E7" w:rsidRDefault="00E37702" w:rsidP="00142011">
      <w:pPr>
        <w:ind w:left="1276"/>
        <w:rPr>
          <w:i/>
          <w:iCs/>
          <w:lang w:val="en-US"/>
        </w:rPr>
      </w:pPr>
      <w:r w:rsidRPr="001C19E7">
        <w:rPr>
          <w:i/>
          <w:iCs/>
          <w:lang w:val="en-US"/>
        </w:rPr>
        <w:t>External legal demands for data also do not trigger Customer Lockbox requests. For details, see the discussion of government requests for data on the Microsoft Trust Center.”</w:t>
      </w:r>
    </w:p>
    <w:p w14:paraId="0BF5748E" w14:textId="77777777" w:rsidR="00E37702" w:rsidRPr="001C19E7" w:rsidRDefault="00E37702" w:rsidP="00142011">
      <w:pPr>
        <w:ind w:left="1276"/>
        <w:rPr>
          <w:highlight w:val="cyan"/>
          <w:lang w:val="en-US" w:eastAsia="da-DK"/>
        </w:rPr>
      </w:pPr>
    </w:p>
    <w:p w14:paraId="01A86B86" w14:textId="398F1249" w:rsidR="005343FF" w:rsidRPr="00DC4F35" w:rsidRDefault="00537D5C" w:rsidP="0036440D">
      <w:pPr>
        <w:rPr>
          <w:rFonts w:cstheme="minorHAnsi"/>
          <w:iCs/>
        </w:rPr>
      </w:pPr>
      <w:r w:rsidRPr="00DC4F35">
        <w:rPr>
          <w:rFonts w:cstheme="minorHAnsi"/>
          <w:iCs/>
        </w:rPr>
        <w:t xml:space="preserve">Customer </w:t>
      </w:r>
      <w:proofErr w:type="spellStart"/>
      <w:r w:rsidRPr="00DC4F35">
        <w:rPr>
          <w:rFonts w:cstheme="minorHAnsi"/>
          <w:iCs/>
        </w:rPr>
        <w:t>Lockbox</w:t>
      </w:r>
      <w:proofErr w:type="spellEnd"/>
      <w:r w:rsidRPr="00DC4F35">
        <w:rPr>
          <w:rFonts w:cstheme="minorHAnsi"/>
          <w:iCs/>
        </w:rPr>
        <w:t xml:space="preserve"> er således en effektiv foranstaltning til at mindske antallet af overførsler eller minimere tidsrummet, hvori overførslen sker, om end det ikke udgør en foranstaltning, der afskærer Microsoft </w:t>
      </w:r>
      <w:r w:rsidR="00D34466" w:rsidRPr="00DC4F35">
        <w:rPr>
          <w:rFonts w:cstheme="minorHAnsi"/>
          <w:iCs/>
        </w:rPr>
        <w:t>fra</w:t>
      </w:r>
      <w:r w:rsidRPr="00DC4F35">
        <w:rPr>
          <w:rFonts w:cstheme="minorHAnsi"/>
          <w:iCs/>
        </w:rPr>
        <w:t xml:space="preserve"> at få adgang til personoplysninger i klar tekst, herunder i Customer Data, i tredjelande.</w:t>
      </w:r>
    </w:p>
    <w:p w14:paraId="75CD6D8B" w14:textId="77777777" w:rsidR="00537D5C" w:rsidRPr="00DC4F35" w:rsidRDefault="00537D5C" w:rsidP="0036440D">
      <w:pPr>
        <w:rPr>
          <w:rFonts w:cstheme="minorHAnsi"/>
          <w:iCs/>
          <w:color w:val="FF0000"/>
        </w:rPr>
      </w:pPr>
    </w:p>
    <w:p w14:paraId="376E81C0" w14:textId="77777777" w:rsidR="0036440D" w:rsidRPr="00DC4F35" w:rsidRDefault="0036440D" w:rsidP="0036440D">
      <w:pPr>
        <w:rPr>
          <w:rFonts w:cstheme="minorHAnsi"/>
          <w:iCs/>
          <w:color w:val="FF0000"/>
        </w:rPr>
      </w:pPr>
      <w:r w:rsidRPr="00DC4F35">
        <w:rPr>
          <w:rFonts w:cstheme="minorHAnsi"/>
          <w:b/>
          <w:bCs/>
          <w:iCs/>
        </w:rPr>
        <w:t>Anvendelse af anerkendte standarder</w:t>
      </w:r>
    </w:p>
    <w:p w14:paraId="257479BE" w14:textId="5E91F403" w:rsidR="0036440D" w:rsidRPr="00DC4F35" w:rsidRDefault="0036440D" w:rsidP="0036440D">
      <w:pPr>
        <w:rPr>
          <w:rFonts w:cstheme="minorHAnsi"/>
          <w:iCs/>
        </w:rPr>
      </w:pPr>
      <w:r w:rsidRPr="00DC4F35">
        <w:rPr>
          <w:rFonts w:cstheme="minorHAnsi"/>
          <w:iCs/>
        </w:rPr>
        <w:t>Det fremgår af afsnittet ”</w:t>
      </w:r>
      <w:r w:rsidRPr="00DC4F35">
        <w:rPr>
          <w:i/>
          <w:iCs/>
        </w:rPr>
        <w:t xml:space="preserve">Security Practices and </w:t>
      </w:r>
      <w:proofErr w:type="spellStart"/>
      <w:r w:rsidRPr="00DC4F35">
        <w:rPr>
          <w:i/>
          <w:iCs/>
        </w:rPr>
        <w:t>Policies</w:t>
      </w:r>
      <w:proofErr w:type="spellEnd"/>
      <w:r w:rsidRPr="00DC4F35">
        <w:rPr>
          <w:rFonts w:cstheme="minorHAnsi"/>
          <w:iCs/>
        </w:rPr>
        <w:t>” i Microsoft</w:t>
      </w:r>
      <w:r w:rsidR="00D34466" w:rsidRPr="00DC4F35">
        <w:rPr>
          <w:rFonts w:cstheme="minorHAnsi"/>
          <w:iCs/>
        </w:rPr>
        <w:t xml:space="preserve"> Irelands</w:t>
      </w:r>
      <w:r w:rsidRPr="00DC4F35">
        <w:rPr>
          <w:rFonts w:cstheme="minorHAnsi"/>
          <w:iCs/>
        </w:rPr>
        <w:t xml:space="preserve"> databehandleraftale, at Microsoft vil sikre, at tekniske og organisatoriske sikkerhedsforanstaltninger fastlægges i overensstemmelse med ISO 27001, ISO 27002 og ISO 27018.</w:t>
      </w:r>
      <w:r w:rsidR="006B6590" w:rsidRPr="00DC4F35">
        <w:rPr>
          <w:rFonts w:cstheme="minorHAnsi"/>
          <w:iCs/>
        </w:rPr>
        <w:t xml:space="preserve"> Desuden er det til brug for konsekvensanalysen oplyst af Microsoft, at de desuden anvender ISO 27701.</w:t>
      </w:r>
    </w:p>
    <w:p w14:paraId="006F4372" w14:textId="77777777" w:rsidR="0036440D" w:rsidRPr="00DC4F35" w:rsidRDefault="0036440D" w:rsidP="0036440D">
      <w:pPr>
        <w:rPr>
          <w:rFonts w:cstheme="minorHAnsi"/>
          <w:b/>
          <w:bCs/>
          <w:iCs/>
        </w:rPr>
      </w:pPr>
    </w:p>
    <w:p w14:paraId="477B2296" w14:textId="77777777" w:rsidR="0036440D" w:rsidRPr="00DC4F35" w:rsidRDefault="0036440D" w:rsidP="0036440D">
      <w:pPr>
        <w:rPr>
          <w:rFonts w:cstheme="minorHAnsi"/>
          <w:b/>
          <w:bCs/>
          <w:iCs/>
        </w:rPr>
      </w:pPr>
      <w:r w:rsidRPr="00DC4F35">
        <w:rPr>
          <w:rFonts w:cstheme="minorHAnsi"/>
          <w:b/>
          <w:bCs/>
          <w:iCs/>
        </w:rPr>
        <w:t>Ophør af behandling</w:t>
      </w:r>
    </w:p>
    <w:p w14:paraId="59EABAD8" w14:textId="207D228E" w:rsidR="0036440D" w:rsidRPr="00DC4F35" w:rsidRDefault="0036440D" w:rsidP="0036440D">
      <w:pPr>
        <w:rPr>
          <w:rFonts w:cstheme="minorHAnsi"/>
          <w:iCs/>
        </w:rPr>
      </w:pPr>
      <w:r w:rsidRPr="00DC4F35">
        <w:rPr>
          <w:rFonts w:cstheme="minorHAnsi"/>
          <w:iCs/>
        </w:rPr>
        <w:t>Det fremgår af afsnittet ”</w:t>
      </w:r>
      <w:r w:rsidRPr="00DC4F35">
        <w:rPr>
          <w:rFonts w:cstheme="minorHAnsi"/>
          <w:i/>
        </w:rPr>
        <w:t>Data Retention and Deletion</w:t>
      </w:r>
      <w:r w:rsidRPr="00DC4F35">
        <w:rPr>
          <w:rFonts w:cstheme="minorHAnsi"/>
          <w:iCs/>
        </w:rPr>
        <w:t>” i Microsoft</w:t>
      </w:r>
      <w:r w:rsidR="00845525" w:rsidRPr="00DC4F35">
        <w:rPr>
          <w:rFonts w:cstheme="minorHAnsi"/>
          <w:iCs/>
        </w:rPr>
        <w:t xml:space="preserve"> Irelands</w:t>
      </w:r>
      <w:r w:rsidRPr="00DC4F35">
        <w:rPr>
          <w:rFonts w:cstheme="minorHAnsi"/>
          <w:iCs/>
        </w:rPr>
        <w:t xml:space="preserve"> databehandleraftale, at Microsoft har etableret processer, der muliggør, at </w:t>
      </w:r>
      <w:r w:rsidR="00AA7A1A" w:rsidRPr="00DC4F35">
        <w:rPr>
          <w:rFonts w:cstheme="minorHAnsi"/>
          <w:iCs/>
        </w:rPr>
        <w:t xml:space="preserve">De Dataansvarlige </w:t>
      </w:r>
      <w:r w:rsidRPr="00DC4F35">
        <w:rPr>
          <w:rFonts w:cstheme="minorHAnsi"/>
          <w:iCs/>
        </w:rPr>
        <w:t xml:space="preserve">kan foretage udtræk og sletning af Customer Data og dermed muliggøre flytning af </w:t>
      </w:r>
      <w:r w:rsidR="00D5653D" w:rsidRPr="00DC4F35">
        <w:rPr>
          <w:rFonts w:cstheme="minorHAnsi"/>
          <w:iCs/>
        </w:rPr>
        <w:t>l</w:t>
      </w:r>
      <w:r w:rsidRPr="00DC4F35">
        <w:rPr>
          <w:rFonts w:cstheme="minorHAnsi"/>
          <w:iCs/>
        </w:rPr>
        <w:t>øsningen.</w:t>
      </w:r>
    </w:p>
    <w:p w14:paraId="313CD6A8" w14:textId="77777777" w:rsidR="00CC6B10" w:rsidRPr="00DC4F35" w:rsidRDefault="00CC6B10" w:rsidP="0036440D">
      <w:pPr>
        <w:rPr>
          <w:lang w:eastAsia="da-DK"/>
        </w:rPr>
      </w:pPr>
    </w:p>
    <w:p w14:paraId="2AE1A665" w14:textId="77777777" w:rsidR="0036440D" w:rsidRPr="00DC4F35" w:rsidRDefault="0036440D" w:rsidP="0036440D">
      <w:pPr>
        <w:pStyle w:val="Overskrift2"/>
      </w:pPr>
      <w:bookmarkStart w:id="95" w:name="_Toc66959793"/>
      <w:bookmarkStart w:id="96" w:name="_Ref167274627"/>
      <w:bookmarkStart w:id="97" w:name="_Toc170824049"/>
      <w:r w:rsidRPr="00DC4F35">
        <w:t>Organisatoriske foranstaltninger</w:t>
      </w:r>
      <w:bookmarkEnd w:id="95"/>
      <w:bookmarkEnd w:id="96"/>
      <w:bookmarkEnd w:id="97"/>
    </w:p>
    <w:p w14:paraId="2DB942BD" w14:textId="35B4B5CD" w:rsidR="0036440D" w:rsidRPr="00DC4F35" w:rsidRDefault="00AA7A1A" w:rsidP="0036440D">
      <w:pPr>
        <w:rPr>
          <w:lang w:eastAsia="da-DK"/>
        </w:rPr>
      </w:pPr>
      <w:r w:rsidRPr="00DC4F35">
        <w:rPr>
          <w:lang w:eastAsia="da-DK"/>
        </w:rPr>
        <w:t xml:space="preserve">De Dataansvarlige </w:t>
      </w:r>
      <w:r w:rsidR="0036440D" w:rsidRPr="00DC4F35">
        <w:rPr>
          <w:lang w:eastAsia="da-DK"/>
        </w:rPr>
        <w:t xml:space="preserve">vil i det følgende beskrive de organisatoriske foranstaltninger, som der vil blive implementeret i forbindelse med </w:t>
      </w:r>
      <w:r w:rsidR="004D7859" w:rsidRPr="00DC4F35">
        <w:rPr>
          <w:lang w:eastAsia="da-DK"/>
        </w:rPr>
        <w:t>De Dataansvarliges</w:t>
      </w:r>
      <w:r w:rsidR="0036440D" w:rsidRPr="00DC4F35">
        <w:rPr>
          <w:lang w:eastAsia="da-DK"/>
        </w:rPr>
        <w:t xml:space="preserve"> brug af </w:t>
      </w:r>
      <w:r w:rsidR="00D5653D" w:rsidRPr="00DC4F35">
        <w:rPr>
          <w:lang w:eastAsia="da-DK"/>
        </w:rPr>
        <w:t>Microsoft 365</w:t>
      </w:r>
      <w:r w:rsidR="00BD0506" w:rsidRPr="00DC4F35">
        <w:rPr>
          <w:lang w:eastAsia="da-DK"/>
        </w:rPr>
        <w:t>.</w:t>
      </w:r>
      <w:r w:rsidR="0036440D" w:rsidRPr="00DC4F35">
        <w:rPr>
          <w:lang w:eastAsia="da-DK"/>
        </w:rPr>
        <w:t xml:space="preserve">  </w:t>
      </w:r>
    </w:p>
    <w:p w14:paraId="253F615B" w14:textId="77777777" w:rsidR="0036440D" w:rsidRPr="00DC4F35" w:rsidRDefault="0036440D" w:rsidP="0036440D">
      <w:pPr>
        <w:rPr>
          <w:b/>
          <w:bCs/>
        </w:rPr>
      </w:pPr>
    </w:p>
    <w:p w14:paraId="0B86A6B8" w14:textId="77777777" w:rsidR="0036440D" w:rsidRPr="00DC4F35" w:rsidRDefault="0036440D" w:rsidP="0036440D">
      <w:pPr>
        <w:rPr>
          <w:b/>
          <w:bCs/>
        </w:rPr>
      </w:pPr>
      <w:r w:rsidRPr="00DC4F35">
        <w:rPr>
          <w:b/>
          <w:bCs/>
        </w:rPr>
        <w:t>Anvendelse af anerkendte standarder</w:t>
      </w:r>
    </w:p>
    <w:p w14:paraId="47B69F55" w14:textId="2DE59AC9" w:rsidR="0036440D" w:rsidRPr="00DC4F35" w:rsidRDefault="0036440D" w:rsidP="0036440D">
      <w:pPr>
        <w:rPr>
          <w:rFonts w:cstheme="minorHAnsi"/>
          <w:iCs/>
          <w:color w:val="FF0000"/>
        </w:rPr>
      </w:pPr>
      <w:r w:rsidRPr="00DC4F35">
        <w:rPr>
          <w:rFonts w:cstheme="minorHAnsi"/>
          <w:iCs/>
        </w:rPr>
        <w:t>Det fremgår af afsnittet ”</w:t>
      </w:r>
      <w:r w:rsidRPr="00DC4F35">
        <w:rPr>
          <w:rFonts w:cstheme="minorHAnsi"/>
          <w:i/>
        </w:rPr>
        <w:t xml:space="preserve">Security Practices and </w:t>
      </w:r>
      <w:proofErr w:type="spellStart"/>
      <w:r w:rsidRPr="00DC4F35">
        <w:rPr>
          <w:rFonts w:cstheme="minorHAnsi"/>
          <w:i/>
        </w:rPr>
        <w:t>Policies</w:t>
      </w:r>
      <w:proofErr w:type="spellEnd"/>
      <w:r w:rsidRPr="00DC4F35">
        <w:rPr>
          <w:rFonts w:cstheme="minorHAnsi"/>
          <w:iCs/>
        </w:rPr>
        <w:t>” i Microsoft</w:t>
      </w:r>
      <w:r w:rsidR="00C13D9C" w:rsidRPr="00DC4F35">
        <w:rPr>
          <w:rFonts w:cstheme="minorHAnsi"/>
          <w:iCs/>
        </w:rPr>
        <w:t xml:space="preserve"> Irelands</w:t>
      </w:r>
      <w:r w:rsidRPr="00DC4F35">
        <w:rPr>
          <w:rFonts w:cstheme="minorHAnsi"/>
          <w:iCs/>
        </w:rPr>
        <w:t xml:space="preserve"> databehandleraftale, at Microsoft vil sikre, at tekniske og organisatoriske sikkerhedsforanstaltninger fastlægges i overensstemmelse med ISO 27001, ISO 27002 og ISO 27018.</w:t>
      </w:r>
      <w:r w:rsidR="004D7859" w:rsidRPr="00DC4F35">
        <w:rPr>
          <w:rFonts w:cstheme="minorHAnsi"/>
          <w:iCs/>
        </w:rPr>
        <w:t xml:space="preserve"> Microsoft har desuden selv oplyst til S</w:t>
      </w:r>
      <w:r w:rsidR="00C13D9C" w:rsidRPr="00DC4F35">
        <w:rPr>
          <w:rFonts w:cstheme="minorHAnsi"/>
          <w:iCs/>
        </w:rPr>
        <w:t>tatens It</w:t>
      </w:r>
      <w:r w:rsidR="004D7859" w:rsidRPr="00DC4F35">
        <w:rPr>
          <w:rFonts w:cstheme="minorHAnsi"/>
          <w:iCs/>
        </w:rPr>
        <w:t xml:space="preserve"> og </w:t>
      </w:r>
      <w:r w:rsidR="00C13D9C" w:rsidRPr="00DC4F35">
        <w:rPr>
          <w:rFonts w:cstheme="minorHAnsi"/>
          <w:iCs/>
        </w:rPr>
        <w:t>Økonomistyrelsen</w:t>
      </w:r>
      <w:r w:rsidR="004D7859" w:rsidRPr="00DC4F35">
        <w:rPr>
          <w:rFonts w:cstheme="minorHAnsi"/>
          <w:iCs/>
        </w:rPr>
        <w:t>, at</w:t>
      </w:r>
      <w:r w:rsidR="00676B9C" w:rsidRPr="00DC4F35">
        <w:rPr>
          <w:rFonts w:cstheme="minorHAnsi"/>
          <w:iCs/>
        </w:rPr>
        <w:t xml:space="preserve"> ISO</w:t>
      </w:r>
      <w:r w:rsidR="004D7859" w:rsidRPr="00DC4F35">
        <w:rPr>
          <w:rFonts w:cstheme="minorHAnsi"/>
          <w:iCs/>
        </w:rPr>
        <w:t xml:space="preserve"> 27</w:t>
      </w:r>
      <w:r w:rsidR="0024578E" w:rsidRPr="00DC4F35">
        <w:rPr>
          <w:rFonts w:cstheme="minorHAnsi"/>
          <w:iCs/>
        </w:rPr>
        <w:t>701 tillige anvendes.</w:t>
      </w:r>
    </w:p>
    <w:p w14:paraId="440B6C73" w14:textId="77777777" w:rsidR="0036440D" w:rsidRPr="00DC4F35" w:rsidRDefault="0036440D" w:rsidP="0036440D">
      <w:pPr>
        <w:rPr>
          <w:rFonts w:cstheme="minorHAnsi"/>
          <w:b/>
          <w:bCs/>
          <w:iCs/>
        </w:rPr>
      </w:pPr>
    </w:p>
    <w:p w14:paraId="054C5930" w14:textId="77777777" w:rsidR="0036440D" w:rsidRPr="00DC4F35" w:rsidRDefault="0036440D" w:rsidP="0036440D">
      <w:pPr>
        <w:rPr>
          <w:rFonts w:cstheme="minorHAnsi"/>
          <w:b/>
          <w:bCs/>
          <w:iCs/>
        </w:rPr>
      </w:pPr>
      <w:r w:rsidRPr="00DC4F35">
        <w:rPr>
          <w:rFonts w:cstheme="minorHAnsi"/>
          <w:b/>
          <w:bCs/>
          <w:iCs/>
        </w:rPr>
        <w:t>Adgangsbegrænsning</w:t>
      </w:r>
    </w:p>
    <w:p w14:paraId="790000DE" w14:textId="7557AF67" w:rsidR="0002236F" w:rsidRPr="00DC4F35" w:rsidRDefault="0036440D" w:rsidP="0036440D">
      <w:pPr>
        <w:rPr>
          <w:rFonts w:cstheme="minorHAnsi"/>
          <w:iCs/>
          <w:color w:val="FF0000"/>
        </w:rPr>
      </w:pPr>
      <w:r w:rsidRPr="00DC4F35">
        <w:rPr>
          <w:rFonts w:cstheme="minorHAnsi"/>
          <w:iCs/>
        </w:rPr>
        <w:t xml:space="preserve">Adgang til data er som beskrevet i afsnit </w:t>
      </w:r>
      <w:r w:rsidR="005C5D89" w:rsidRPr="00DC4F35">
        <w:rPr>
          <w:rFonts w:cstheme="minorHAnsi"/>
          <w:iCs/>
        </w:rPr>
        <w:fldChar w:fldCharType="begin"/>
      </w:r>
      <w:r w:rsidR="005C5D89" w:rsidRPr="00DC4F35">
        <w:rPr>
          <w:rFonts w:cstheme="minorHAnsi"/>
          <w:iCs/>
        </w:rPr>
        <w:instrText xml:space="preserve"> REF _Ref165118377 \r \h </w:instrText>
      </w:r>
      <w:r w:rsidR="005C5D89" w:rsidRPr="00DC4F35">
        <w:rPr>
          <w:rFonts w:cstheme="minorHAnsi"/>
          <w:iCs/>
        </w:rPr>
      </w:r>
      <w:r w:rsidR="005C5D89" w:rsidRPr="00DC4F35">
        <w:rPr>
          <w:rFonts w:cstheme="minorHAnsi"/>
          <w:iCs/>
        </w:rPr>
        <w:fldChar w:fldCharType="separate"/>
      </w:r>
      <w:r w:rsidR="00C05EBE">
        <w:rPr>
          <w:rFonts w:cstheme="minorHAnsi"/>
          <w:iCs/>
        </w:rPr>
        <w:t>6.1</w:t>
      </w:r>
      <w:r w:rsidR="005C5D89" w:rsidRPr="00DC4F35">
        <w:rPr>
          <w:rFonts w:cstheme="minorHAnsi"/>
          <w:iCs/>
        </w:rPr>
        <w:fldChar w:fldCharType="end"/>
      </w:r>
      <w:r w:rsidRPr="00DC4F35">
        <w:rPr>
          <w:rFonts w:cstheme="minorHAnsi"/>
          <w:iCs/>
        </w:rPr>
        <w:t xml:space="preserve"> tildelt efter princippet om ”</w:t>
      </w:r>
      <w:proofErr w:type="spellStart"/>
      <w:r w:rsidRPr="00DC4F35">
        <w:rPr>
          <w:rFonts w:cstheme="minorHAnsi"/>
          <w:iCs/>
        </w:rPr>
        <w:t>least</w:t>
      </w:r>
      <w:proofErr w:type="spellEnd"/>
      <w:r w:rsidRPr="00DC4F35">
        <w:rPr>
          <w:rFonts w:cstheme="minorHAnsi"/>
          <w:iCs/>
        </w:rPr>
        <w:t xml:space="preserve"> </w:t>
      </w:r>
      <w:proofErr w:type="spellStart"/>
      <w:r w:rsidRPr="00DC4F35">
        <w:rPr>
          <w:rFonts w:cstheme="minorHAnsi"/>
          <w:iCs/>
        </w:rPr>
        <w:t>privilege</w:t>
      </w:r>
      <w:proofErr w:type="spellEnd"/>
      <w:r w:rsidRPr="00DC4F35">
        <w:rPr>
          <w:rFonts w:cstheme="minorHAnsi"/>
          <w:iCs/>
        </w:rPr>
        <w:t xml:space="preserve">” (adgangsbegrænsning). </w:t>
      </w:r>
    </w:p>
    <w:p w14:paraId="6721AD07" w14:textId="77777777" w:rsidR="0002236F" w:rsidRPr="00DC4F35" w:rsidRDefault="0002236F" w:rsidP="0036440D">
      <w:pPr>
        <w:rPr>
          <w:rFonts w:cstheme="minorHAnsi"/>
          <w:iCs/>
          <w:color w:val="FF0000"/>
        </w:rPr>
      </w:pPr>
    </w:p>
    <w:p w14:paraId="0AC3E82B" w14:textId="77777777" w:rsidR="0036440D" w:rsidRPr="00DC4F35" w:rsidRDefault="0036440D" w:rsidP="0036440D">
      <w:pPr>
        <w:rPr>
          <w:rFonts w:cstheme="minorHAnsi"/>
          <w:b/>
          <w:bCs/>
          <w:iCs/>
        </w:rPr>
      </w:pPr>
      <w:r w:rsidRPr="00DC4F35">
        <w:rPr>
          <w:rFonts w:cstheme="minorHAnsi"/>
          <w:b/>
          <w:bCs/>
          <w:iCs/>
        </w:rPr>
        <w:t xml:space="preserve">Tilsyn </w:t>
      </w:r>
    </w:p>
    <w:p w14:paraId="011C7943" w14:textId="00F33E18" w:rsidR="00D5653D" w:rsidRPr="00DC4F35" w:rsidRDefault="0036440D" w:rsidP="0036440D">
      <w:pPr>
        <w:rPr>
          <w:rFonts w:cstheme="minorHAnsi"/>
          <w:iCs/>
        </w:rPr>
      </w:pPr>
      <w:r w:rsidRPr="00DC4F35">
        <w:rPr>
          <w:rFonts w:cstheme="minorHAnsi"/>
          <w:iCs/>
        </w:rPr>
        <w:t>Det fremgår af afsnittet ”</w:t>
      </w:r>
      <w:r w:rsidRPr="00DC4F35">
        <w:rPr>
          <w:rFonts w:cstheme="minorHAnsi"/>
          <w:i/>
        </w:rPr>
        <w:t>Auditing Compliance</w:t>
      </w:r>
      <w:r w:rsidRPr="00DC4F35">
        <w:rPr>
          <w:rFonts w:cstheme="minorHAnsi"/>
          <w:iCs/>
        </w:rPr>
        <w:t>” og ”</w:t>
      </w:r>
      <w:r w:rsidRPr="00DC4F35">
        <w:rPr>
          <w:rFonts w:cstheme="minorHAnsi"/>
          <w:i/>
        </w:rPr>
        <w:t xml:space="preserve">European Union General Data </w:t>
      </w:r>
      <w:proofErr w:type="spellStart"/>
      <w:r w:rsidRPr="00DC4F35">
        <w:rPr>
          <w:rFonts w:cstheme="minorHAnsi"/>
          <w:i/>
        </w:rPr>
        <w:t>Protection</w:t>
      </w:r>
      <w:proofErr w:type="spellEnd"/>
      <w:r w:rsidRPr="00DC4F35">
        <w:rPr>
          <w:rFonts w:cstheme="minorHAnsi"/>
          <w:i/>
        </w:rPr>
        <w:t xml:space="preserve"> </w:t>
      </w:r>
      <w:proofErr w:type="spellStart"/>
      <w:r w:rsidRPr="00DC4F35">
        <w:rPr>
          <w:rFonts w:cstheme="minorHAnsi"/>
          <w:i/>
        </w:rPr>
        <w:t>Regulation</w:t>
      </w:r>
      <w:proofErr w:type="spellEnd"/>
      <w:r w:rsidRPr="00DC4F35">
        <w:rPr>
          <w:rFonts w:cstheme="minorHAnsi"/>
          <w:i/>
        </w:rPr>
        <w:t xml:space="preserve"> Terms</w:t>
      </w:r>
      <w:r w:rsidRPr="00DC4F35">
        <w:rPr>
          <w:rFonts w:cstheme="minorHAnsi"/>
          <w:iCs/>
        </w:rPr>
        <w:t>” i Microsoft</w:t>
      </w:r>
      <w:r w:rsidR="000F759C" w:rsidRPr="00DC4F35">
        <w:rPr>
          <w:rFonts w:cstheme="minorHAnsi"/>
          <w:iCs/>
        </w:rPr>
        <w:t xml:space="preserve"> Irelands</w:t>
      </w:r>
      <w:r w:rsidRPr="00DC4F35">
        <w:rPr>
          <w:rFonts w:cstheme="minorHAnsi"/>
          <w:iCs/>
        </w:rPr>
        <w:t xml:space="preserve"> databehandleraftale, at </w:t>
      </w:r>
      <w:r w:rsidR="005320FD" w:rsidRPr="00DC4F35">
        <w:rPr>
          <w:rFonts w:cstheme="minorHAnsi"/>
          <w:iCs/>
        </w:rPr>
        <w:t>det er</w:t>
      </w:r>
      <w:r w:rsidRPr="00DC4F35">
        <w:rPr>
          <w:rFonts w:cstheme="minorHAnsi"/>
          <w:iCs/>
        </w:rPr>
        <w:t xml:space="preserve"> mulig</w:t>
      </w:r>
      <w:r w:rsidR="005320FD" w:rsidRPr="00DC4F35">
        <w:rPr>
          <w:rFonts w:cstheme="minorHAnsi"/>
          <w:iCs/>
        </w:rPr>
        <w:t>t</w:t>
      </w:r>
      <w:r w:rsidRPr="00DC4F35">
        <w:rPr>
          <w:rFonts w:cstheme="minorHAnsi"/>
          <w:iCs/>
        </w:rPr>
        <w:t xml:space="preserve"> at føre kontrol med Microsoft</w:t>
      </w:r>
      <w:r w:rsidR="000F759C" w:rsidRPr="00DC4F35">
        <w:rPr>
          <w:rFonts w:cstheme="minorHAnsi"/>
          <w:iCs/>
        </w:rPr>
        <w:t xml:space="preserve"> Irelands</w:t>
      </w:r>
      <w:r w:rsidRPr="00DC4F35">
        <w:rPr>
          <w:rFonts w:cstheme="minorHAnsi"/>
          <w:iCs/>
        </w:rPr>
        <w:t xml:space="preserve"> overholdelse af forpligtelserne i databeskyttelsesforordningens artikel 28. Det indebærer også, at </w:t>
      </w:r>
      <w:r w:rsidR="00AA7A1A" w:rsidRPr="00DC4F35">
        <w:rPr>
          <w:rFonts w:cstheme="minorHAnsi"/>
          <w:iCs/>
        </w:rPr>
        <w:t xml:space="preserve">De Dataansvarlige </w:t>
      </w:r>
      <w:r w:rsidRPr="00DC4F35">
        <w:rPr>
          <w:rFonts w:cstheme="minorHAnsi"/>
          <w:iCs/>
        </w:rPr>
        <w:t>kan føre kontrol med, at Microsoft</w:t>
      </w:r>
      <w:r w:rsidR="000F759C" w:rsidRPr="00DC4F35">
        <w:rPr>
          <w:rFonts w:cstheme="minorHAnsi"/>
          <w:iCs/>
        </w:rPr>
        <w:t xml:space="preserve"> Ireland</w:t>
      </w:r>
      <w:r w:rsidRPr="00DC4F35">
        <w:rPr>
          <w:rFonts w:cstheme="minorHAnsi"/>
          <w:iCs/>
        </w:rPr>
        <w:t xml:space="preserve"> behandler personoplysningerne i overensstemmelse med instruksen, herunder i relation til de i trin 1 beskrevne overførsler.</w:t>
      </w:r>
    </w:p>
    <w:p w14:paraId="78AFF1D3" w14:textId="77777777" w:rsidR="0036440D" w:rsidRPr="00DC4F35" w:rsidRDefault="0036440D" w:rsidP="0036440D">
      <w:pPr>
        <w:rPr>
          <w:rFonts w:cstheme="minorHAnsi"/>
          <w:iCs/>
        </w:rPr>
      </w:pPr>
    </w:p>
    <w:p w14:paraId="10DD3047" w14:textId="59FBCE9A" w:rsidR="0036440D" w:rsidRPr="00DC4F35" w:rsidRDefault="0036440D" w:rsidP="0036440D">
      <w:pPr>
        <w:rPr>
          <w:rFonts w:cstheme="minorHAnsi"/>
          <w:iCs/>
        </w:rPr>
      </w:pPr>
      <w:r w:rsidRPr="00DC4F35">
        <w:rPr>
          <w:rFonts w:cstheme="minorHAnsi"/>
          <w:iCs/>
        </w:rPr>
        <w:t>Det fremgår desuden af ”</w:t>
      </w:r>
      <w:proofErr w:type="spellStart"/>
      <w:r w:rsidRPr="00DC4F35">
        <w:rPr>
          <w:rFonts w:cstheme="minorHAnsi"/>
          <w:i/>
        </w:rPr>
        <w:t>Appendix</w:t>
      </w:r>
      <w:proofErr w:type="spellEnd"/>
      <w:r w:rsidRPr="00DC4F35">
        <w:rPr>
          <w:rFonts w:cstheme="minorHAnsi"/>
          <w:i/>
        </w:rPr>
        <w:t xml:space="preserve"> A – Security Measures</w:t>
      </w:r>
      <w:r w:rsidRPr="00DC4F35">
        <w:rPr>
          <w:rFonts w:cstheme="minorHAnsi"/>
          <w:iCs/>
        </w:rPr>
        <w:t>” i Microsoft</w:t>
      </w:r>
      <w:r w:rsidR="000F759C" w:rsidRPr="00DC4F35">
        <w:rPr>
          <w:rFonts w:cstheme="minorHAnsi"/>
          <w:iCs/>
        </w:rPr>
        <w:t xml:space="preserve"> Irelands</w:t>
      </w:r>
      <w:r w:rsidRPr="00DC4F35">
        <w:rPr>
          <w:rFonts w:cstheme="minorHAnsi"/>
          <w:iCs/>
        </w:rPr>
        <w:t xml:space="preserve"> databehandleraftale, at Microsoft</w:t>
      </w:r>
      <w:r w:rsidR="000F759C" w:rsidRPr="00DC4F35">
        <w:rPr>
          <w:rFonts w:cstheme="minorHAnsi"/>
          <w:iCs/>
        </w:rPr>
        <w:t xml:space="preserve"> Ireland</w:t>
      </w:r>
      <w:r w:rsidRPr="00DC4F35">
        <w:rPr>
          <w:rFonts w:cstheme="minorHAnsi"/>
          <w:iCs/>
        </w:rPr>
        <w:t xml:space="preserve"> desuden har udpeget en eller flere “</w:t>
      </w:r>
      <w:r w:rsidRPr="00DC4F35">
        <w:rPr>
          <w:rFonts w:cstheme="minorHAnsi"/>
          <w:i/>
        </w:rPr>
        <w:t>security officers</w:t>
      </w:r>
      <w:r w:rsidRPr="00DC4F35">
        <w:rPr>
          <w:rFonts w:cstheme="minorHAnsi"/>
          <w:iCs/>
        </w:rPr>
        <w:t xml:space="preserve">”, som er ansvarlige for koordinering og overvågning af sikkerhedsregler og -procedurer. </w:t>
      </w:r>
    </w:p>
    <w:p w14:paraId="1091DAC1" w14:textId="77777777" w:rsidR="0036440D" w:rsidRPr="00DC4F35" w:rsidRDefault="0036440D" w:rsidP="0036440D">
      <w:pPr>
        <w:rPr>
          <w:rFonts w:cstheme="minorHAnsi"/>
          <w:iCs/>
        </w:rPr>
      </w:pPr>
    </w:p>
    <w:p w14:paraId="4681D21D" w14:textId="6388CA04" w:rsidR="0036440D" w:rsidRPr="001C19E7" w:rsidRDefault="0036440D" w:rsidP="0036440D">
      <w:pPr>
        <w:rPr>
          <w:rFonts w:cstheme="minorHAnsi"/>
          <w:iCs/>
          <w:lang w:val="en-US"/>
        </w:rPr>
      </w:pPr>
      <w:r w:rsidRPr="001C19E7">
        <w:rPr>
          <w:rFonts w:cstheme="minorHAnsi"/>
          <w:iCs/>
          <w:lang w:val="en-US"/>
        </w:rPr>
        <w:t xml:space="preserve">Det </w:t>
      </w:r>
      <w:proofErr w:type="spellStart"/>
      <w:r w:rsidRPr="001C19E7">
        <w:rPr>
          <w:rFonts w:cstheme="minorHAnsi"/>
          <w:iCs/>
          <w:lang w:val="en-US"/>
        </w:rPr>
        <w:t>fremgår</w:t>
      </w:r>
      <w:proofErr w:type="spellEnd"/>
      <w:r w:rsidRPr="001C19E7">
        <w:rPr>
          <w:rFonts w:cstheme="minorHAnsi"/>
          <w:iCs/>
          <w:lang w:val="en-US"/>
        </w:rPr>
        <w:t xml:space="preserve"> </w:t>
      </w:r>
      <w:proofErr w:type="spellStart"/>
      <w:r w:rsidRPr="001C19E7">
        <w:rPr>
          <w:rFonts w:cstheme="minorHAnsi"/>
          <w:iCs/>
          <w:lang w:val="en-US"/>
        </w:rPr>
        <w:t>videre</w:t>
      </w:r>
      <w:proofErr w:type="spellEnd"/>
      <w:r w:rsidRPr="001C19E7">
        <w:rPr>
          <w:rFonts w:cstheme="minorHAnsi"/>
          <w:iCs/>
          <w:lang w:val="en-US"/>
        </w:rPr>
        <w:t xml:space="preserve"> </w:t>
      </w:r>
      <w:proofErr w:type="spellStart"/>
      <w:r w:rsidRPr="001C19E7">
        <w:rPr>
          <w:rFonts w:cstheme="minorHAnsi"/>
          <w:iCs/>
          <w:lang w:val="en-US"/>
        </w:rPr>
        <w:t>af</w:t>
      </w:r>
      <w:proofErr w:type="spellEnd"/>
      <w:r w:rsidRPr="001C19E7">
        <w:rPr>
          <w:rFonts w:cstheme="minorHAnsi"/>
          <w:iCs/>
          <w:lang w:val="en-US"/>
        </w:rPr>
        <w:t xml:space="preserve"> </w:t>
      </w:r>
      <w:r w:rsidR="000B1A6F" w:rsidRPr="001C19E7">
        <w:rPr>
          <w:lang w:val="en-US"/>
        </w:rPr>
        <w:t xml:space="preserve">EU Data Boundary </w:t>
      </w:r>
      <w:proofErr w:type="spellStart"/>
      <w:r w:rsidRPr="001C19E7">
        <w:rPr>
          <w:rFonts w:cstheme="minorHAnsi"/>
          <w:lang w:val="en-US"/>
        </w:rPr>
        <w:t>do</w:t>
      </w:r>
      <w:r w:rsidR="000B1A6F" w:rsidRPr="001C19E7">
        <w:rPr>
          <w:rFonts w:cstheme="minorHAnsi"/>
          <w:lang w:val="en-US"/>
        </w:rPr>
        <w:t>k</w:t>
      </w:r>
      <w:r w:rsidRPr="001C19E7">
        <w:rPr>
          <w:rFonts w:cstheme="minorHAnsi"/>
          <w:lang w:val="en-US"/>
        </w:rPr>
        <w:t>umentation</w:t>
      </w:r>
      <w:r w:rsidR="003B5914" w:rsidRPr="001C19E7">
        <w:rPr>
          <w:rFonts w:cstheme="minorHAnsi"/>
          <w:lang w:val="en-US"/>
        </w:rPr>
        <w:t>en</w:t>
      </w:r>
      <w:proofErr w:type="spellEnd"/>
      <w:r w:rsidRPr="001C19E7">
        <w:rPr>
          <w:rFonts w:cstheme="minorHAnsi"/>
          <w:lang w:val="en-US"/>
        </w:rPr>
        <w:t>, at Microsoft</w:t>
      </w:r>
      <w:r w:rsidR="003B5914" w:rsidRPr="001C19E7">
        <w:rPr>
          <w:rFonts w:cstheme="minorHAnsi"/>
          <w:lang w:val="en-US"/>
        </w:rPr>
        <w:t xml:space="preserve"> Ireland</w:t>
      </w:r>
      <w:r w:rsidRPr="001C19E7">
        <w:rPr>
          <w:rFonts w:cstheme="minorHAnsi"/>
          <w:iCs/>
          <w:lang w:val="en-US"/>
        </w:rPr>
        <w:t xml:space="preserve"> </w:t>
      </w:r>
      <w:proofErr w:type="spellStart"/>
      <w:r w:rsidRPr="001C19E7">
        <w:rPr>
          <w:rFonts w:cstheme="minorHAnsi"/>
          <w:iCs/>
          <w:lang w:val="en-US"/>
        </w:rPr>
        <w:t>løbende</w:t>
      </w:r>
      <w:proofErr w:type="spellEnd"/>
      <w:r w:rsidRPr="001C19E7">
        <w:rPr>
          <w:rFonts w:cstheme="minorHAnsi"/>
          <w:iCs/>
          <w:lang w:val="en-US"/>
        </w:rPr>
        <w:t xml:space="preserve"> </w:t>
      </w:r>
      <w:proofErr w:type="spellStart"/>
      <w:r w:rsidRPr="001C19E7">
        <w:rPr>
          <w:rFonts w:cstheme="minorHAnsi"/>
          <w:iCs/>
          <w:lang w:val="en-US"/>
        </w:rPr>
        <w:t>gennemfører</w:t>
      </w:r>
      <w:proofErr w:type="spellEnd"/>
      <w:r w:rsidRPr="001C19E7">
        <w:rPr>
          <w:rFonts w:cstheme="minorHAnsi"/>
          <w:iCs/>
          <w:lang w:val="en-US"/>
        </w:rPr>
        <w:t xml:space="preserve"> audits “</w:t>
      </w:r>
      <w:r w:rsidRPr="001C19E7">
        <w:rPr>
          <w:rFonts w:cstheme="minorHAnsi"/>
          <w:i/>
          <w:lang w:val="en-US"/>
        </w:rPr>
        <w:t>to review and confirm that access management measures are working in accordance with policy requirements, including Microsoft’s contractual commitments</w:t>
      </w:r>
      <w:r w:rsidRPr="001C19E7">
        <w:rPr>
          <w:rFonts w:cstheme="minorHAnsi"/>
          <w:iCs/>
          <w:lang w:val="en-US"/>
        </w:rPr>
        <w:t>”</w:t>
      </w:r>
      <w:r w:rsidR="007253D8" w:rsidRPr="001C19E7">
        <w:rPr>
          <w:rFonts w:cstheme="minorHAnsi"/>
          <w:iCs/>
          <w:lang w:val="en-US"/>
        </w:rPr>
        <w:t>.</w:t>
      </w:r>
    </w:p>
    <w:p w14:paraId="3C2F5D60" w14:textId="77777777" w:rsidR="00D5653D" w:rsidRPr="001C19E7" w:rsidRDefault="00D5653D" w:rsidP="0036440D">
      <w:pPr>
        <w:rPr>
          <w:rFonts w:cstheme="minorHAnsi"/>
          <w:iCs/>
          <w:lang w:val="en-US"/>
        </w:rPr>
      </w:pPr>
    </w:p>
    <w:p w14:paraId="191922D0" w14:textId="23BD74A6" w:rsidR="00D5653D" w:rsidRPr="00DC4F35" w:rsidRDefault="00D5653D" w:rsidP="0036440D">
      <w:pPr>
        <w:rPr>
          <w:rFonts w:cstheme="minorHAnsi"/>
          <w:iCs/>
        </w:rPr>
      </w:pPr>
      <w:r w:rsidRPr="00DC4F35">
        <w:rPr>
          <w:rFonts w:cstheme="minorHAnsi"/>
          <w:iCs/>
        </w:rPr>
        <w:t xml:space="preserve">Endelig har Microsoft til brug for konsekvensanalysen oplyst, at der anvendes SOC 1 og SOC 2. </w:t>
      </w:r>
      <w:r w:rsidR="005049AE" w:rsidRPr="005049AE">
        <w:rPr>
          <w:rFonts w:cstheme="minorHAnsi"/>
          <w:iCs/>
        </w:rPr>
        <w:t>SOC 2-rapporten fokuserer på kontrollerne i en serviceorganisation, der vedrører sikkerheden, tilgængeligheden, behandlingsintegriteten, fortroligheden og privatlivets fred for en serviceorganisations teknologiske systemer, drift og overholdelse af lovgivning.</w:t>
      </w:r>
    </w:p>
    <w:p w14:paraId="7D667E9E" w14:textId="77777777" w:rsidR="0036440D" w:rsidRPr="00DC4F35" w:rsidRDefault="0036440D" w:rsidP="0036440D">
      <w:pPr>
        <w:rPr>
          <w:rFonts w:cstheme="minorHAnsi"/>
          <w:iCs/>
          <w:color w:val="FF0000"/>
        </w:rPr>
      </w:pPr>
    </w:p>
    <w:p w14:paraId="22AF142C" w14:textId="4861F80A" w:rsidR="00753B87" w:rsidRPr="00DC4F35" w:rsidRDefault="0036440D" w:rsidP="0036440D">
      <w:pPr>
        <w:rPr>
          <w:b/>
          <w:bCs/>
        </w:rPr>
      </w:pPr>
      <w:r w:rsidRPr="00DC4F35">
        <w:rPr>
          <w:b/>
          <w:bCs/>
        </w:rPr>
        <w:t>Gennemsigtighed vedrørende udleveringsanmodninger</w:t>
      </w:r>
      <w:r w:rsidR="00322EBB" w:rsidRPr="00DC4F35">
        <w:rPr>
          <w:b/>
          <w:bCs/>
        </w:rPr>
        <w:t xml:space="preserve"> og Microsofts erfaringer he</w:t>
      </w:r>
      <w:r w:rsidR="00E27E99" w:rsidRPr="00DC4F35">
        <w:rPr>
          <w:b/>
          <w:bCs/>
        </w:rPr>
        <w:t>rmed</w:t>
      </w:r>
    </w:p>
    <w:p w14:paraId="7A274E7D" w14:textId="4D7AA268" w:rsidR="00696CCE" w:rsidRDefault="00696CCE" w:rsidP="00364A26">
      <w:pPr>
        <w:rPr>
          <w:lang w:eastAsia="da-DK"/>
        </w:rPr>
      </w:pPr>
      <w:r w:rsidRPr="00DC4F35">
        <w:rPr>
          <w:lang w:eastAsia="da-DK"/>
        </w:rPr>
        <w:lastRenderedPageBreak/>
        <w:t xml:space="preserve">Som det </w:t>
      </w:r>
      <w:r w:rsidR="0002636C" w:rsidRPr="00DC4F35">
        <w:rPr>
          <w:lang w:eastAsia="da-DK"/>
        </w:rPr>
        <w:t>nærmere er beskrevet i afsnit 3.1.2.3 ovenfor</w:t>
      </w:r>
      <w:r w:rsidRPr="00DC4F35">
        <w:rPr>
          <w:lang w:eastAsia="da-DK"/>
        </w:rPr>
        <w:t>, har Microsoft efter det oplyste aldrig udleveret personoplysninger – uanset om der er tale om personoplysninger i Customer data eller øvrige former for datakategorier – tilhørende en EU offentlig myndighed (</w:t>
      </w:r>
      <w:proofErr w:type="gramStart"/>
      <w:r w:rsidRPr="00DC4F35">
        <w:rPr>
          <w:lang w:eastAsia="da-DK"/>
        </w:rPr>
        <w:t>EU public</w:t>
      </w:r>
      <w:proofErr w:type="gramEnd"/>
      <w:r w:rsidRPr="00DC4F35">
        <w:rPr>
          <w:lang w:eastAsia="da-DK"/>
        </w:rPr>
        <w:t xml:space="preserve"> </w:t>
      </w:r>
      <w:proofErr w:type="spellStart"/>
      <w:r w:rsidRPr="00DC4F35">
        <w:rPr>
          <w:lang w:eastAsia="da-DK"/>
        </w:rPr>
        <w:t>sector</w:t>
      </w:r>
      <w:proofErr w:type="spellEnd"/>
      <w:r w:rsidRPr="00DC4F35">
        <w:rPr>
          <w:lang w:eastAsia="da-DK"/>
        </w:rPr>
        <w:t xml:space="preserve"> </w:t>
      </w:r>
      <w:proofErr w:type="spellStart"/>
      <w:r w:rsidRPr="00DC4F35">
        <w:rPr>
          <w:lang w:eastAsia="da-DK"/>
        </w:rPr>
        <w:t>customer</w:t>
      </w:r>
      <w:proofErr w:type="spellEnd"/>
      <w:r w:rsidRPr="00DC4F35">
        <w:rPr>
          <w:lang w:eastAsia="da-DK"/>
        </w:rPr>
        <w:t>) til retshåndhævende myndigheder i tredjelande.</w:t>
      </w:r>
    </w:p>
    <w:p w14:paraId="0D1AF0C4" w14:textId="77777777" w:rsidR="00720570" w:rsidRDefault="00720570" w:rsidP="00364A26">
      <w:pPr>
        <w:rPr>
          <w:lang w:eastAsia="da-DK"/>
        </w:rPr>
      </w:pPr>
    </w:p>
    <w:p w14:paraId="000174B1" w14:textId="77777777" w:rsidR="00720570" w:rsidRPr="00295A42" w:rsidRDefault="00720570" w:rsidP="00720570">
      <w:pPr>
        <w:rPr>
          <w:b/>
          <w:bCs/>
          <w:lang w:val="en-US"/>
        </w:rPr>
      </w:pPr>
      <w:proofErr w:type="spellStart"/>
      <w:r w:rsidRPr="00295A42">
        <w:rPr>
          <w:b/>
          <w:bCs/>
          <w:lang w:val="en-US" w:eastAsia="da-DK"/>
        </w:rPr>
        <w:t>Særligt</w:t>
      </w:r>
      <w:proofErr w:type="spellEnd"/>
      <w:r w:rsidRPr="00295A42">
        <w:rPr>
          <w:b/>
          <w:bCs/>
          <w:lang w:val="en-US" w:eastAsia="da-DK"/>
        </w:rPr>
        <w:t xml:space="preserve"> </w:t>
      </w:r>
      <w:proofErr w:type="spellStart"/>
      <w:r w:rsidRPr="00295A42">
        <w:rPr>
          <w:b/>
          <w:bCs/>
          <w:lang w:val="en-US" w:eastAsia="da-DK"/>
        </w:rPr>
        <w:t>vedrørende</w:t>
      </w:r>
      <w:proofErr w:type="spellEnd"/>
      <w:r w:rsidRPr="00295A42">
        <w:rPr>
          <w:b/>
          <w:bCs/>
          <w:lang w:val="en-US" w:eastAsia="da-DK"/>
        </w:rPr>
        <w:t xml:space="preserve"> Voicemail, Auto Attendant, and Call Queue greetings </w:t>
      </w:r>
      <w:proofErr w:type="spellStart"/>
      <w:r w:rsidRPr="00295A42">
        <w:rPr>
          <w:b/>
          <w:bCs/>
          <w:lang w:val="en-US" w:eastAsia="da-DK"/>
        </w:rPr>
        <w:t>samt</w:t>
      </w:r>
      <w:proofErr w:type="spellEnd"/>
      <w:r w:rsidRPr="00295A42">
        <w:rPr>
          <w:b/>
          <w:bCs/>
          <w:lang w:val="en-US" w:eastAsia="da-DK"/>
        </w:rPr>
        <w:t xml:space="preserve"> </w:t>
      </w:r>
      <w:r w:rsidRPr="00295A42">
        <w:rPr>
          <w:b/>
          <w:bCs/>
          <w:lang w:val="en-US"/>
        </w:rPr>
        <w:t>Messaging Thread Service</w:t>
      </w:r>
    </w:p>
    <w:p w14:paraId="4F75F2BB" w14:textId="1F4C5292" w:rsidR="00720570" w:rsidRDefault="00720570" w:rsidP="00720570">
      <w:r w:rsidRPr="00295A42">
        <w:rPr>
          <w:lang w:eastAsia="da-DK"/>
        </w:rPr>
        <w:t>Som tidligere nævnt vil de</w:t>
      </w:r>
      <w:r>
        <w:rPr>
          <w:lang w:eastAsia="da-DK"/>
        </w:rPr>
        <w:t xml:space="preserve">r </w:t>
      </w:r>
      <w:r>
        <w:t>blive udarbejdet retningslinjer, der afskærer brugen af</w:t>
      </w:r>
      <w:r w:rsidRPr="00720570">
        <w:t xml:space="preserve"> </w:t>
      </w:r>
      <w:proofErr w:type="spellStart"/>
      <w:r w:rsidRPr="00720570">
        <w:t>Voicemail</w:t>
      </w:r>
      <w:proofErr w:type="spellEnd"/>
      <w:r w:rsidRPr="00720570">
        <w:t xml:space="preserve">, Auto </w:t>
      </w:r>
      <w:proofErr w:type="spellStart"/>
      <w:r w:rsidRPr="00720570">
        <w:t>Attendant</w:t>
      </w:r>
      <w:proofErr w:type="spellEnd"/>
      <w:r w:rsidRPr="00720570">
        <w:t xml:space="preserve">, and Call Queue </w:t>
      </w:r>
      <w:proofErr w:type="spellStart"/>
      <w:r w:rsidRPr="00720570">
        <w:t>greetings</w:t>
      </w:r>
      <w:proofErr w:type="spellEnd"/>
      <w:r>
        <w:t xml:space="preserve"> i tilfælde, hvor modtager-brugeren befinder sig uden for EU.</w:t>
      </w:r>
    </w:p>
    <w:p w14:paraId="44115E23" w14:textId="77777777" w:rsidR="00720570" w:rsidRDefault="00720570" w:rsidP="00720570"/>
    <w:p w14:paraId="2728394C" w14:textId="03C1AED6" w:rsidR="00720570" w:rsidRPr="00441D4F" w:rsidRDefault="00720570" w:rsidP="00720570">
      <w:r w:rsidRPr="00441D4F">
        <w:t xml:space="preserve">Tilsvarende vil der blive udarbejdet retningslinjer, der afskærer brugen af </w:t>
      </w:r>
      <w:r w:rsidRPr="00295A42">
        <w:t>Messaging Thread Service</w:t>
      </w:r>
      <w:r w:rsidRPr="00441D4F">
        <w:t xml:space="preserve"> i tilfælde, hvor initiativtageren befinder sig uden for EU.</w:t>
      </w:r>
    </w:p>
    <w:p w14:paraId="1A057F61" w14:textId="77777777" w:rsidR="00696CCE" w:rsidRPr="00720570" w:rsidRDefault="00696CCE" w:rsidP="0036440D">
      <w:pPr>
        <w:pStyle w:val="ProductList-Body"/>
      </w:pPr>
    </w:p>
    <w:p w14:paraId="3FE3B625" w14:textId="77777777" w:rsidR="0036440D" w:rsidRPr="00DC4F35" w:rsidRDefault="0036440D" w:rsidP="0036440D">
      <w:pPr>
        <w:pStyle w:val="Overskrift2"/>
      </w:pPr>
      <w:bookmarkStart w:id="98" w:name="_Toc66959792"/>
      <w:bookmarkStart w:id="99" w:name="_Ref165127118"/>
      <w:bookmarkStart w:id="100" w:name="_Ref167276163"/>
      <w:bookmarkStart w:id="101" w:name="_Ref167400841"/>
      <w:bookmarkStart w:id="102" w:name="_Toc170824050"/>
      <w:r w:rsidRPr="00DC4F35">
        <w:t>Kontraktuelle foranstaltninger</w:t>
      </w:r>
      <w:bookmarkEnd w:id="98"/>
      <w:bookmarkEnd w:id="99"/>
      <w:bookmarkEnd w:id="100"/>
      <w:bookmarkEnd w:id="101"/>
      <w:bookmarkEnd w:id="102"/>
    </w:p>
    <w:p w14:paraId="1DCF7113" w14:textId="52A0898C" w:rsidR="0036440D" w:rsidRPr="00DC4F35" w:rsidRDefault="00AA7A1A" w:rsidP="0036440D">
      <w:pPr>
        <w:rPr>
          <w:lang w:eastAsia="da-DK"/>
        </w:rPr>
      </w:pPr>
      <w:r w:rsidRPr="00DC4F35">
        <w:rPr>
          <w:lang w:eastAsia="da-DK"/>
        </w:rPr>
        <w:t xml:space="preserve">De Dataansvarlige </w:t>
      </w:r>
      <w:r w:rsidR="0036440D" w:rsidRPr="00DC4F35">
        <w:rPr>
          <w:lang w:eastAsia="da-DK"/>
        </w:rPr>
        <w:t xml:space="preserve">vil i det følgende beskrive de kontraktuelle foranstaltninger, som der vil blive implementeret i forbindelse med </w:t>
      </w:r>
      <w:r w:rsidR="00B77667" w:rsidRPr="00DC4F35">
        <w:rPr>
          <w:lang w:eastAsia="da-DK"/>
        </w:rPr>
        <w:t xml:space="preserve">De Dataansvarliges </w:t>
      </w:r>
      <w:r w:rsidR="0036440D" w:rsidRPr="00DC4F35">
        <w:rPr>
          <w:lang w:eastAsia="da-DK"/>
        </w:rPr>
        <w:t xml:space="preserve">brug af </w:t>
      </w:r>
      <w:r w:rsidR="00B77667" w:rsidRPr="00DC4F35">
        <w:rPr>
          <w:lang w:eastAsia="da-DK"/>
        </w:rPr>
        <w:t>Microsoft 365</w:t>
      </w:r>
      <w:r w:rsidR="0036440D" w:rsidRPr="00DC4F35">
        <w:rPr>
          <w:lang w:eastAsia="da-DK"/>
        </w:rPr>
        <w:t xml:space="preserve">.  </w:t>
      </w:r>
    </w:p>
    <w:p w14:paraId="3A31B241" w14:textId="77777777" w:rsidR="0036440D" w:rsidRPr="00DC4F35" w:rsidRDefault="0036440D" w:rsidP="0036440D">
      <w:pPr>
        <w:rPr>
          <w:lang w:eastAsia="da-DK"/>
        </w:rPr>
      </w:pPr>
    </w:p>
    <w:p w14:paraId="1F9044FA" w14:textId="77777777" w:rsidR="0036440D" w:rsidRPr="00DC4F35" w:rsidRDefault="0036440D" w:rsidP="0036440D">
      <w:pPr>
        <w:rPr>
          <w:rFonts w:cstheme="minorHAnsi"/>
          <w:b/>
          <w:bCs/>
          <w:iCs/>
        </w:rPr>
      </w:pPr>
      <w:r w:rsidRPr="00DC4F35">
        <w:rPr>
          <w:rFonts w:cstheme="minorHAnsi"/>
          <w:b/>
          <w:bCs/>
          <w:iCs/>
        </w:rPr>
        <w:t xml:space="preserve">EU Data </w:t>
      </w:r>
      <w:proofErr w:type="spellStart"/>
      <w:r w:rsidRPr="00DC4F35">
        <w:rPr>
          <w:rFonts w:cstheme="minorHAnsi"/>
          <w:b/>
          <w:bCs/>
          <w:iCs/>
        </w:rPr>
        <w:t>Boundary</w:t>
      </w:r>
      <w:proofErr w:type="spellEnd"/>
    </w:p>
    <w:p w14:paraId="7CB2EABB" w14:textId="4877158E" w:rsidR="0036440D" w:rsidRPr="00DC4F35" w:rsidRDefault="0036440D" w:rsidP="0036440D">
      <w:pPr>
        <w:rPr>
          <w:rFonts w:cstheme="minorHAnsi"/>
        </w:rPr>
      </w:pPr>
      <w:r w:rsidRPr="00DC4F35">
        <w:rPr>
          <w:rFonts w:cstheme="minorHAnsi"/>
        </w:rPr>
        <w:t xml:space="preserve">Microsoft </w:t>
      </w:r>
      <w:r w:rsidR="00734CFD" w:rsidRPr="00DC4F35">
        <w:rPr>
          <w:rFonts w:cstheme="minorHAnsi"/>
        </w:rPr>
        <w:t xml:space="preserve">Ireland </w:t>
      </w:r>
      <w:r w:rsidRPr="00DC4F35">
        <w:rPr>
          <w:rFonts w:cstheme="minorHAnsi"/>
        </w:rPr>
        <w:t xml:space="preserve">forpligter sig i </w:t>
      </w:r>
      <w:r w:rsidR="00A73930" w:rsidRPr="00DC4F35">
        <w:rPr>
          <w:rFonts w:cstheme="minorHAnsi"/>
        </w:rPr>
        <w:t>sine</w:t>
      </w:r>
      <w:r w:rsidRPr="00DC4F35">
        <w:rPr>
          <w:rFonts w:cstheme="minorHAnsi"/>
        </w:rPr>
        <w:t xml:space="preserve"> </w:t>
      </w:r>
      <w:r w:rsidRPr="00DC4F35">
        <w:rPr>
          <w:iCs/>
        </w:rPr>
        <w:t>Product Terms</w:t>
      </w:r>
      <w:r w:rsidRPr="00DC4F35">
        <w:rPr>
          <w:rFonts w:cstheme="minorHAnsi"/>
        </w:rPr>
        <w:t xml:space="preserve"> til at anvende Microsofts ”EU Data </w:t>
      </w:r>
      <w:proofErr w:type="spellStart"/>
      <w:r w:rsidRPr="00DC4F35">
        <w:rPr>
          <w:rFonts w:cstheme="minorHAnsi"/>
        </w:rPr>
        <w:t>Boundary</w:t>
      </w:r>
      <w:proofErr w:type="spellEnd"/>
      <w:r w:rsidRPr="00DC4F35">
        <w:rPr>
          <w:rFonts w:cstheme="minorHAnsi"/>
        </w:rPr>
        <w:t>” i forbindelse med Microsoft</w:t>
      </w:r>
      <w:r w:rsidR="00734CFD" w:rsidRPr="00DC4F35">
        <w:rPr>
          <w:rFonts w:cstheme="minorHAnsi"/>
        </w:rPr>
        <w:t xml:space="preserve"> Ireland</w:t>
      </w:r>
      <w:r w:rsidRPr="00DC4F35">
        <w:rPr>
          <w:rFonts w:cstheme="minorHAnsi"/>
        </w:rPr>
        <w:t xml:space="preserve"> og dennes underdatabehandleres behandling af Customer Data, hvorefter Microsoft </w:t>
      </w:r>
      <w:r w:rsidR="00EF56E4" w:rsidRPr="00DC4F35">
        <w:rPr>
          <w:rFonts w:cstheme="minorHAnsi"/>
        </w:rPr>
        <w:t xml:space="preserve">Ireland </w:t>
      </w:r>
      <w:r w:rsidRPr="00DC4F35">
        <w:rPr>
          <w:rFonts w:cstheme="minorHAnsi"/>
        </w:rPr>
        <w:t xml:space="preserve">forpligter sig til at behandle, herunder opbevare, personoplysningerne inden for EU/EØS. Dette betyder, at Microsoft </w:t>
      </w:r>
      <w:r w:rsidR="00EF56E4" w:rsidRPr="00DC4F35">
        <w:rPr>
          <w:rFonts w:cstheme="minorHAnsi"/>
        </w:rPr>
        <w:t xml:space="preserve">Ireland </w:t>
      </w:r>
      <w:r w:rsidRPr="00DC4F35">
        <w:rPr>
          <w:rFonts w:cstheme="minorHAnsi"/>
        </w:rPr>
        <w:t>alene vil overføre personoplysningerne til underdatabehandlere i en række nærmere begrænse</w:t>
      </w:r>
      <w:r w:rsidR="0002236F" w:rsidRPr="00DC4F35">
        <w:rPr>
          <w:rFonts w:cstheme="minorHAnsi"/>
        </w:rPr>
        <w:t>de</w:t>
      </w:r>
      <w:r w:rsidRPr="00DC4F35">
        <w:rPr>
          <w:rFonts w:cstheme="minorHAnsi"/>
        </w:rPr>
        <w:t xml:space="preserve"> tilfælde. Se nærmere herom i afsnit 3.1.2.1.</w:t>
      </w:r>
    </w:p>
    <w:p w14:paraId="07AE7871" w14:textId="77777777" w:rsidR="00D64EBE" w:rsidRPr="00DC4F35" w:rsidRDefault="00D64EBE" w:rsidP="0036440D">
      <w:pPr>
        <w:rPr>
          <w:rFonts w:cstheme="minorHAnsi"/>
        </w:rPr>
      </w:pPr>
    </w:p>
    <w:p w14:paraId="706A40D5" w14:textId="77777777" w:rsidR="00D64EBE" w:rsidRPr="00DC4F35" w:rsidRDefault="00D64EBE" w:rsidP="00D64EBE">
      <w:pPr>
        <w:rPr>
          <w:rFonts w:cstheme="minorHAnsi"/>
          <w:b/>
          <w:bCs/>
          <w:iCs/>
        </w:rPr>
      </w:pPr>
      <w:r w:rsidRPr="00DC4F35">
        <w:rPr>
          <w:rFonts w:cstheme="minorHAnsi"/>
          <w:b/>
          <w:bCs/>
          <w:iCs/>
        </w:rPr>
        <w:t xml:space="preserve">Customer </w:t>
      </w:r>
      <w:proofErr w:type="spellStart"/>
      <w:r w:rsidRPr="00DC4F35">
        <w:rPr>
          <w:rFonts w:cstheme="minorHAnsi"/>
          <w:b/>
          <w:bCs/>
          <w:iCs/>
        </w:rPr>
        <w:t>Lockbox</w:t>
      </w:r>
      <w:proofErr w:type="spellEnd"/>
    </w:p>
    <w:p w14:paraId="38996952" w14:textId="198E9BA6" w:rsidR="00D64EBE" w:rsidRPr="00DC4F35" w:rsidRDefault="006947FC" w:rsidP="0036440D">
      <w:pPr>
        <w:rPr>
          <w:rFonts w:cstheme="minorHAnsi"/>
          <w:iCs/>
        </w:rPr>
      </w:pPr>
      <w:r w:rsidRPr="00DC4F35">
        <w:rPr>
          <w:rFonts w:cstheme="minorHAnsi"/>
          <w:iCs/>
        </w:rPr>
        <w:t xml:space="preserve">Customer </w:t>
      </w:r>
      <w:proofErr w:type="spellStart"/>
      <w:r w:rsidRPr="00DC4F35">
        <w:rPr>
          <w:rFonts w:cstheme="minorHAnsi"/>
          <w:iCs/>
        </w:rPr>
        <w:t>Lockbox</w:t>
      </w:r>
      <w:proofErr w:type="spellEnd"/>
      <w:r w:rsidRPr="00DC4F35">
        <w:rPr>
          <w:rFonts w:cstheme="minorHAnsi"/>
          <w:iCs/>
        </w:rPr>
        <w:t xml:space="preserve"> er en ydelse</w:t>
      </w:r>
      <w:r w:rsidR="009455A8" w:rsidRPr="00DC4F35">
        <w:rPr>
          <w:rFonts w:cstheme="minorHAnsi"/>
          <w:iCs/>
        </w:rPr>
        <w:t>,</w:t>
      </w:r>
      <w:r w:rsidRPr="00DC4F35">
        <w:rPr>
          <w:rFonts w:cstheme="minorHAnsi"/>
          <w:iCs/>
        </w:rPr>
        <w:t xml:space="preserve"> der særligt kan tilvælges af kunder, hvilke</w:t>
      </w:r>
      <w:r w:rsidR="009455A8" w:rsidRPr="00DC4F35">
        <w:rPr>
          <w:rFonts w:cstheme="minorHAnsi"/>
          <w:iCs/>
        </w:rPr>
        <w:t>t</w:t>
      </w:r>
      <w:r w:rsidRPr="00DC4F35">
        <w:rPr>
          <w:rFonts w:cstheme="minorHAnsi"/>
          <w:iCs/>
        </w:rPr>
        <w:t xml:space="preserve"> De Dataansvarlige vil gøre. Dette er uddybet ovenfor i afsnit </w:t>
      </w:r>
      <w:r w:rsidR="009455A8" w:rsidRPr="00DC4F35">
        <w:rPr>
          <w:rFonts w:cstheme="minorHAnsi"/>
          <w:iCs/>
        </w:rPr>
        <w:fldChar w:fldCharType="begin"/>
      </w:r>
      <w:r w:rsidR="009455A8" w:rsidRPr="00DC4F35">
        <w:rPr>
          <w:rFonts w:cstheme="minorHAnsi"/>
          <w:iCs/>
        </w:rPr>
        <w:instrText xml:space="preserve"> REF _Ref165118377 \r \h </w:instrText>
      </w:r>
      <w:r w:rsidR="009455A8" w:rsidRPr="00DC4F35">
        <w:rPr>
          <w:rFonts w:cstheme="minorHAnsi"/>
          <w:iCs/>
        </w:rPr>
      </w:r>
      <w:r w:rsidR="009455A8" w:rsidRPr="00DC4F35">
        <w:rPr>
          <w:rFonts w:cstheme="minorHAnsi"/>
          <w:iCs/>
        </w:rPr>
        <w:fldChar w:fldCharType="separate"/>
      </w:r>
      <w:r w:rsidR="00C05EBE">
        <w:rPr>
          <w:rFonts w:cstheme="minorHAnsi"/>
          <w:iCs/>
        </w:rPr>
        <w:t>6.1</w:t>
      </w:r>
      <w:r w:rsidR="009455A8" w:rsidRPr="00DC4F35">
        <w:rPr>
          <w:rFonts w:cstheme="minorHAnsi"/>
          <w:iCs/>
        </w:rPr>
        <w:fldChar w:fldCharType="end"/>
      </w:r>
      <w:r w:rsidRPr="00DC4F35">
        <w:rPr>
          <w:rFonts w:cstheme="minorHAnsi"/>
          <w:iCs/>
        </w:rPr>
        <w:t>.</w:t>
      </w:r>
    </w:p>
    <w:p w14:paraId="76E405CF" w14:textId="77777777" w:rsidR="0036440D" w:rsidRPr="00DC4F35" w:rsidRDefault="0036440D" w:rsidP="0036440D">
      <w:pPr>
        <w:rPr>
          <w:rFonts w:cstheme="minorHAnsi"/>
          <w:i/>
        </w:rPr>
      </w:pPr>
    </w:p>
    <w:p w14:paraId="24BFDC66" w14:textId="77777777" w:rsidR="0036440D" w:rsidRPr="00DC4F35" w:rsidRDefault="0036440D" w:rsidP="0036440D">
      <w:pPr>
        <w:rPr>
          <w:rFonts w:cstheme="minorHAnsi"/>
          <w:b/>
          <w:bCs/>
          <w:iCs/>
        </w:rPr>
      </w:pPr>
      <w:r w:rsidRPr="00DC4F35">
        <w:rPr>
          <w:rFonts w:cstheme="minorHAnsi"/>
          <w:b/>
          <w:bCs/>
          <w:iCs/>
        </w:rPr>
        <w:t>Foranstaltninger vedrørende udleveringsanmodninger</w:t>
      </w:r>
    </w:p>
    <w:p w14:paraId="2E0ECB3F" w14:textId="0DD8587D" w:rsidR="00D64EBE" w:rsidRPr="00DC4F35" w:rsidRDefault="00D64EBE" w:rsidP="00D64EBE">
      <w:r w:rsidRPr="00DC4F35">
        <w:t>Microsoft</w:t>
      </w:r>
      <w:r w:rsidR="003203C8" w:rsidRPr="00DC4F35">
        <w:t xml:space="preserve"> Ireland</w:t>
      </w:r>
      <w:r w:rsidRPr="00DC4F35">
        <w:t xml:space="preserve"> har forpligtet sig til at overholde EU-retten i ethvert tilfælde, såfremt Microsoft</w:t>
      </w:r>
      <w:r w:rsidR="003203C8" w:rsidRPr="00DC4F35">
        <w:t xml:space="preserve"> Ireland</w:t>
      </w:r>
      <w:r w:rsidRPr="00DC4F35">
        <w:t xml:space="preserve"> modtager en udleveringsanmodning fra et tredjeland</w:t>
      </w:r>
      <w:r w:rsidR="009455A8" w:rsidRPr="00DC4F35">
        <w:t>,</w:t>
      </w:r>
      <w:r w:rsidRPr="00DC4F35">
        <w:t xml:space="preserve"> uanset om personoplysninger fysisk er overført eller ej og på trods af et tredjelands jurisdiktion i det pågældende land. Se beskrivelsen heraf ovenfor i afsnit </w:t>
      </w:r>
      <w:r w:rsidRPr="00DC4F35">
        <w:fldChar w:fldCharType="begin"/>
      </w:r>
      <w:r w:rsidRPr="00DC4F35">
        <w:instrText xml:space="preserve"> REF _Ref164368184 \r \h </w:instrText>
      </w:r>
      <w:r w:rsidRPr="00DC4F35">
        <w:fldChar w:fldCharType="separate"/>
      </w:r>
      <w:r w:rsidR="00C05EBE">
        <w:t>3.1.2.2</w:t>
      </w:r>
      <w:r w:rsidRPr="00DC4F35">
        <w:fldChar w:fldCharType="end"/>
      </w:r>
      <w:r w:rsidRPr="00DC4F35">
        <w:t>.</w:t>
      </w:r>
      <w:r w:rsidR="00490BE8" w:rsidRPr="00DC4F35">
        <w:t xml:space="preserve"> Det følger således allerede heraf, at det kun vil være i tilfælde</w:t>
      </w:r>
      <w:r w:rsidR="009455A8" w:rsidRPr="00DC4F35">
        <w:t>,</w:t>
      </w:r>
      <w:r w:rsidR="00490BE8" w:rsidRPr="00DC4F35">
        <w:t xml:space="preserve"> hvor det følger af EU-retten, at </w:t>
      </w:r>
      <w:r w:rsidR="0045528A" w:rsidRPr="00DC4F35">
        <w:t xml:space="preserve">Microsoft </w:t>
      </w:r>
      <w:r w:rsidR="003203C8" w:rsidRPr="00DC4F35">
        <w:t xml:space="preserve">Ireland </w:t>
      </w:r>
      <w:r w:rsidR="0045528A" w:rsidRPr="00DC4F35">
        <w:t>må</w:t>
      </w:r>
      <w:r w:rsidR="00490BE8" w:rsidRPr="00DC4F35">
        <w:t xml:space="preserve"> udlevere personoplysninger til et tredjelands myndigheder i overensstemmelse med en udleveringsanmodning. I disse tilfælde vil der således være hjemmel til at overføre personoplysningerne til et tredjeland.</w:t>
      </w:r>
      <w:r w:rsidR="00F631B9" w:rsidRPr="00DC4F35">
        <w:t xml:space="preserve"> Dette vilkår vil have fuld, effektiv virkning, når de personoplysninger, der anmodes om adgang til, alene befinder sig i EU, og hvor der pågældende tredjelands myndigheder ikke </w:t>
      </w:r>
      <w:r w:rsidR="00F631B9" w:rsidRPr="00DC4F35">
        <w:lastRenderedPageBreak/>
        <w:t>vil kunne gennemføre udleveringen af personoplysningerne med magt i EU</w:t>
      </w:r>
      <w:r w:rsidR="00AD1476" w:rsidRPr="00DC4F35">
        <w:t>. Hvis personoplysningerne fysisk er overført til det pågældende tredjeland</w:t>
      </w:r>
      <w:r w:rsidR="00DC47D7" w:rsidRPr="00DC4F35">
        <w:t>, hvorfra udleveringsanmodningen kommer, vil foranstaltningen ikke i sig selv kunne forhindre, at udleveringen af personoplysningerne fuldbyrdes med magt</w:t>
      </w:r>
      <w:r w:rsidR="003117C2" w:rsidRPr="00DC4F35">
        <w:t>.</w:t>
      </w:r>
    </w:p>
    <w:p w14:paraId="55F51EF9" w14:textId="77777777" w:rsidR="0045528A" w:rsidRPr="00DC4F35" w:rsidRDefault="0045528A" w:rsidP="00D64EBE"/>
    <w:p w14:paraId="392C256C" w14:textId="7674ABC2" w:rsidR="0045528A" w:rsidRPr="00DC4F35" w:rsidRDefault="0045528A" w:rsidP="0045528A">
      <w:pPr>
        <w:rPr>
          <w:rFonts w:cstheme="minorHAnsi"/>
          <w:iCs/>
        </w:rPr>
      </w:pPr>
      <w:r w:rsidRPr="00DC4F35">
        <w:rPr>
          <w:iCs/>
        </w:rPr>
        <w:t>Microsoft</w:t>
      </w:r>
      <w:r w:rsidR="004514CD" w:rsidRPr="00DC4F35">
        <w:rPr>
          <w:iCs/>
        </w:rPr>
        <w:t xml:space="preserve"> Ireland</w:t>
      </w:r>
      <w:r w:rsidRPr="00DC4F35">
        <w:rPr>
          <w:iCs/>
        </w:rPr>
        <w:t xml:space="preserve"> har samtidig i </w:t>
      </w:r>
      <w:r w:rsidRPr="00DC4F35">
        <w:t>”</w:t>
      </w:r>
      <w:proofErr w:type="spellStart"/>
      <w:r w:rsidRPr="00DC4F35">
        <w:rPr>
          <w:i/>
          <w:iCs/>
        </w:rPr>
        <w:t>Appendix</w:t>
      </w:r>
      <w:proofErr w:type="spellEnd"/>
      <w:r w:rsidRPr="00DC4F35">
        <w:rPr>
          <w:i/>
          <w:iCs/>
        </w:rPr>
        <w:t xml:space="preserve"> C – </w:t>
      </w:r>
      <w:proofErr w:type="spellStart"/>
      <w:r w:rsidRPr="00DC4F35">
        <w:rPr>
          <w:i/>
          <w:iCs/>
        </w:rPr>
        <w:t>Additional</w:t>
      </w:r>
      <w:proofErr w:type="spellEnd"/>
      <w:r w:rsidRPr="00DC4F35">
        <w:rPr>
          <w:i/>
          <w:iCs/>
        </w:rPr>
        <w:t xml:space="preserve"> </w:t>
      </w:r>
      <w:proofErr w:type="spellStart"/>
      <w:r w:rsidRPr="00DC4F35">
        <w:rPr>
          <w:i/>
          <w:iCs/>
        </w:rPr>
        <w:t>Safeguards</w:t>
      </w:r>
      <w:proofErr w:type="spellEnd"/>
      <w:r w:rsidRPr="00DC4F35">
        <w:rPr>
          <w:i/>
          <w:iCs/>
        </w:rPr>
        <w:t xml:space="preserve"> Addendum</w:t>
      </w:r>
      <w:r w:rsidRPr="00DC4F35">
        <w:t xml:space="preserve">” </w:t>
      </w:r>
      <w:r w:rsidRPr="00DC4F35">
        <w:rPr>
          <w:rFonts w:cstheme="minorHAnsi"/>
          <w:iCs/>
        </w:rPr>
        <w:t xml:space="preserve">i sin </w:t>
      </w:r>
      <w:r w:rsidRPr="00DC4F35">
        <w:rPr>
          <w:iCs/>
        </w:rPr>
        <w:t xml:space="preserve">databehandleraftale forpligtet sig til </w:t>
      </w:r>
      <w:r w:rsidRPr="00DC4F35">
        <w:rPr>
          <w:rFonts w:cstheme="minorHAnsi"/>
          <w:iCs/>
        </w:rPr>
        <w:t xml:space="preserve">at omdirigere udleveringsanmodninger til kunden, at orientere kunden om en sådan anmodning og at udfordre udleveringsanmodningen. </w:t>
      </w:r>
    </w:p>
    <w:p w14:paraId="6DA46B76" w14:textId="77777777" w:rsidR="0045528A" w:rsidRPr="00DC4F35" w:rsidRDefault="0045528A" w:rsidP="0045528A">
      <w:pPr>
        <w:rPr>
          <w:rFonts w:cstheme="minorHAnsi"/>
          <w:iCs/>
          <w:highlight w:val="cyan"/>
        </w:rPr>
      </w:pPr>
    </w:p>
    <w:p w14:paraId="57BB75CB" w14:textId="39D1F6D5" w:rsidR="0045528A" w:rsidRPr="001C19E7" w:rsidRDefault="0045528A" w:rsidP="0045528A">
      <w:pPr>
        <w:rPr>
          <w:iCs/>
          <w:lang w:val="en-US" w:eastAsia="da-DK"/>
        </w:rPr>
      </w:pPr>
      <w:r w:rsidRPr="00DC4F35">
        <w:t>Det er De Dataansvarliges vurdering, at ovenstående forpligtelser også gælder for Microsoft</w:t>
      </w:r>
      <w:r w:rsidR="005871F9" w:rsidRPr="00DC4F35">
        <w:t xml:space="preserve"> Irelands </w:t>
      </w:r>
      <w:r w:rsidRPr="00DC4F35">
        <w:t xml:space="preserve">underdatabehandlere. </w:t>
      </w:r>
      <w:r w:rsidRPr="001C19E7">
        <w:rPr>
          <w:lang w:val="en-US" w:eastAsia="da-DK"/>
        </w:rPr>
        <w:t>Microsoft</w:t>
      </w:r>
      <w:r w:rsidR="005871F9" w:rsidRPr="001C19E7">
        <w:rPr>
          <w:lang w:val="en-US" w:eastAsia="da-DK"/>
        </w:rPr>
        <w:t xml:space="preserve"> Ireland</w:t>
      </w:r>
      <w:r w:rsidRPr="001C19E7">
        <w:rPr>
          <w:lang w:val="en-US" w:eastAsia="da-DK"/>
        </w:rPr>
        <w:t xml:space="preserve"> </w:t>
      </w:r>
      <w:proofErr w:type="spellStart"/>
      <w:r w:rsidRPr="001C19E7">
        <w:rPr>
          <w:lang w:val="en-US" w:eastAsia="da-DK"/>
        </w:rPr>
        <w:t>anfører</w:t>
      </w:r>
      <w:proofErr w:type="spellEnd"/>
      <w:r w:rsidRPr="001C19E7">
        <w:rPr>
          <w:lang w:val="en-US" w:eastAsia="da-DK"/>
        </w:rPr>
        <w:t xml:space="preserve"> </w:t>
      </w:r>
      <w:proofErr w:type="spellStart"/>
      <w:r w:rsidRPr="001C19E7">
        <w:rPr>
          <w:lang w:val="en-US" w:eastAsia="da-DK"/>
        </w:rPr>
        <w:t>således</w:t>
      </w:r>
      <w:proofErr w:type="spellEnd"/>
      <w:r w:rsidRPr="001C19E7">
        <w:rPr>
          <w:lang w:val="en-US" w:eastAsia="da-DK"/>
        </w:rPr>
        <w:t xml:space="preserve"> </w:t>
      </w:r>
      <w:proofErr w:type="spellStart"/>
      <w:r w:rsidRPr="001C19E7">
        <w:rPr>
          <w:lang w:val="en-US" w:eastAsia="da-DK"/>
        </w:rPr>
        <w:t>i</w:t>
      </w:r>
      <w:proofErr w:type="spellEnd"/>
      <w:r w:rsidRPr="001C19E7">
        <w:rPr>
          <w:lang w:val="en-US" w:eastAsia="da-DK"/>
        </w:rPr>
        <w:t xml:space="preserve"> sin </w:t>
      </w:r>
      <w:proofErr w:type="spellStart"/>
      <w:r w:rsidRPr="001C19E7">
        <w:rPr>
          <w:lang w:val="en-US"/>
        </w:rPr>
        <w:t>databehandleraftale</w:t>
      </w:r>
      <w:proofErr w:type="spellEnd"/>
      <w:r w:rsidRPr="001C19E7">
        <w:rPr>
          <w:lang w:val="en-US" w:eastAsia="da-DK"/>
        </w:rPr>
        <w:t xml:space="preserve"> </w:t>
      </w:r>
      <w:proofErr w:type="spellStart"/>
      <w:r w:rsidRPr="001C19E7">
        <w:rPr>
          <w:lang w:val="en-US" w:eastAsia="da-DK"/>
        </w:rPr>
        <w:t>i</w:t>
      </w:r>
      <w:proofErr w:type="spellEnd"/>
      <w:r w:rsidRPr="001C19E7">
        <w:rPr>
          <w:lang w:val="en-US" w:eastAsia="da-DK"/>
        </w:rPr>
        <w:t xml:space="preserve"> </w:t>
      </w:r>
      <w:proofErr w:type="spellStart"/>
      <w:proofErr w:type="gramStart"/>
      <w:r w:rsidRPr="001C19E7">
        <w:rPr>
          <w:lang w:val="en-US" w:eastAsia="da-DK"/>
        </w:rPr>
        <w:t>afsnittet</w:t>
      </w:r>
      <w:proofErr w:type="spellEnd"/>
      <w:r w:rsidRPr="001C19E7">
        <w:rPr>
          <w:lang w:val="en-US" w:eastAsia="da-DK"/>
        </w:rPr>
        <w:t xml:space="preserve"> </w:t>
      </w:r>
      <w:r w:rsidRPr="001C19E7">
        <w:rPr>
          <w:lang w:val="en-US"/>
        </w:rPr>
        <w:t>”</w:t>
      </w:r>
      <w:r w:rsidRPr="001C19E7">
        <w:rPr>
          <w:lang w:val="en-US" w:eastAsia="da-DK"/>
        </w:rPr>
        <w:t>Notice</w:t>
      </w:r>
      <w:proofErr w:type="gramEnd"/>
      <w:r w:rsidRPr="001C19E7">
        <w:rPr>
          <w:lang w:val="en-US" w:eastAsia="da-DK"/>
        </w:rPr>
        <w:t xml:space="preserve"> and Controls on use of </w:t>
      </w:r>
      <w:proofErr w:type="spellStart"/>
      <w:r w:rsidRPr="001C19E7">
        <w:rPr>
          <w:lang w:val="en-US" w:eastAsia="da-DK"/>
        </w:rPr>
        <w:t>Subprocessors</w:t>
      </w:r>
      <w:proofErr w:type="spellEnd"/>
      <w:r w:rsidRPr="001C19E7">
        <w:rPr>
          <w:lang w:val="en-US" w:eastAsia="da-DK"/>
        </w:rPr>
        <w:t xml:space="preserve">”, at </w:t>
      </w:r>
      <w:r w:rsidRPr="001C19E7">
        <w:rPr>
          <w:i/>
          <w:lang w:val="en-US" w:eastAsia="da-DK"/>
        </w:rPr>
        <w:t xml:space="preserve">"Microsoft is responsible for its </w:t>
      </w:r>
      <w:proofErr w:type="spellStart"/>
      <w:r w:rsidRPr="001C19E7">
        <w:rPr>
          <w:i/>
          <w:lang w:val="en-US" w:eastAsia="da-DK"/>
        </w:rPr>
        <w:t>Subprocessors</w:t>
      </w:r>
      <w:proofErr w:type="spellEnd"/>
      <w:r w:rsidRPr="001C19E7">
        <w:rPr>
          <w:i/>
          <w:lang w:val="en-US" w:eastAsia="da-DK"/>
        </w:rPr>
        <w:t>’ compliance with Microsoft’s obligations in this DPA".</w:t>
      </w:r>
    </w:p>
    <w:p w14:paraId="0EF82017" w14:textId="77777777" w:rsidR="00F631B9" w:rsidRPr="001C19E7" w:rsidRDefault="00F631B9" w:rsidP="0045528A">
      <w:pPr>
        <w:rPr>
          <w:iCs/>
          <w:lang w:val="en-US" w:eastAsia="da-DK"/>
        </w:rPr>
      </w:pPr>
    </w:p>
    <w:p w14:paraId="4A3C27D9" w14:textId="25C5CEF2" w:rsidR="0036440D" w:rsidRPr="00DC4F35" w:rsidRDefault="0036440D" w:rsidP="00686F16">
      <w:pPr>
        <w:pStyle w:val="ProductList-Body"/>
        <w:spacing w:line="312" w:lineRule="auto"/>
        <w:rPr>
          <w:b/>
          <w:bCs/>
          <w:sz w:val="20"/>
        </w:rPr>
      </w:pPr>
      <w:r w:rsidRPr="00DC4F35">
        <w:rPr>
          <w:b/>
          <w:bCs/>
          <w:sz w:val="20"/>
        </w:rPr>
        <w:t>Skadesløsholdelse af registrerede</w:t>
      </w:r>
    </w:p>
    <w:p w14:paraId="374D8AAB" w14:textId="125E6A80" w:rsidR="00753B87" w:rsidRPr="00DC4F35" w:rsidRDefault="0036440D" w:rsidP="009455A8">
      <w:r w:rsidRPr="00DC4F35">
        <w:rPr>
          <w:lang w:eastAsia="da-DK"/>
        </w:rPr>
        <w:t xml:space="preserve">Microsoft </w:t>
      </w:r>
      <w:r w:rsidR="00520EBC" w:rsidRPr="00DC4F35">
        <w:rPr>
          <w:lang w:eastAsia="da-DK"/>
        </w:rPr>
        <w:t xml:space="preserve">Ireland </w:t>
      </w:r>
      <w:r w:rsidRPr="00DC4F35">
        <w:rPr>
          <w:lang w:eastAsia="da-DK"/>
        </w:rPr>
        <w:t xml:space="preserve">forpligter sig </w:t>
      </w:r>
      <w:r w:rsidRPr="00DC4F35">
        <w:rPr>
          <w:rFonts w:cstheme="minorHAnsi"/>
          <w:iCs/>
        </w:rPr>
        <w:t>i ”</w:t>
      </w:r>
      <w:r w:rsidRPr="00DC4F35">
        <w:rPr>
          <w:rFonts w:cstheme="minorHAnsi"/>
          <w:i/>
        </w:rPr>
        <w:t>Appendiks C-</w:t>
      </w:r>
      <w:r w:rsidRPr="00DC4F35">
        <w:rPr>
          <w:i/>
        </w:rPr>
        <w:t xml:space="preserve"> </w:t>
      </w:r>
      <w:proofErr w:type="spellStart"/>
      <w:r w:rsidRPr="00DC4F35">
        <w:rPr>
          <w:i/>
        </w:rPr>
        <w:t>Additional</w:t>
      </w:r>
      <w:proofErr w:type="spellEnd"/>
      <w:r w:rsidRPr="00DC4F35">
        <w:rPr>
          <w:i/>
        </w:rPr>
        <w:t xml:space="preserve"> </w:t>
      </w:r>
      <w:proofErr w:type="spellStart"/>
      <w:r w:rsidRPr="00DC4F35">
        <w:rPr>
          <w:i/>
        </w:rPr>
        <w:t>Safeguards</w:t>
      </w:r>
      <w:proofErr w:type="spellEnd"/>
      <w:r w:rsidRPr="00DC4F35">
        <w:rPr>
          <w:i/>
        </w:rPr>
        <w:t xml:space="preserve"> Addendum</w:t>
      </w:r>
      <w:r w:rsidRPr="00DC4F35">
        <w:rPr>
          <w:rFonts w:cstheme="minorHAnsi"/>
          <w:iCs/>
        </w:rPr>
        <w:t>” i Microsoft</w:t>
      </w:r>
      <w:r w:rsidR="00526629" w:rsidRPr="00DC4F35">
        <w:rPr>
          <w:rFonts w:cstheme="minorHAnsi"/>
          <w:iCs/>
        </w:rPr>
        <w:t xml:space="preserve"> Irelands</w:t>
      </w:r>
      <w:r w:rsidRPr="00DC4F35">
        <w:rPr>
          <w:rFonts w:cstheme="minorHAnsi"/>
          <w:iCs/>
        </w:rPr>
        <w:t xml:space="preserve"> databehandleraftale videre til </w:t>
      </w:r>
      <w:r w:rsidR="002B434B" w:rsidRPr="00DC4F35">
        <w:rPr>
          <w:rFonts w:cstheme="minorHAnsi"/>
          <w:iCs/>
        </w:rPr>
        <w:t>en</w:t>
      </w:r>
      <w:r w:rsidRPr="00DC4F35">
        <w:rPr>
          <w:rFonts w:cstheme="minorHAnsi"/>
          <w:iCs/>
        </w:rPr>
        <w:t xml:space="preserve"> række yderligere kontraktuelle foranstaltninger, herunder til at </w:t>
      </w:r>
      <w:proofErr w:type="spellStart"/>
      <w:r w:rsidRPr="00DC4F35">
        <w:t>skadesløsholde</w:t>
      </w:r>
      <w:proofErr w:type="spellEnd"/>
      <w:r w:rsidRPr="00DC4F35">
        <w:t xml:space="preserve"> en registreret i forhold </w:t>
      </w:r>
      <w:r w:rsidR="009455A8" w:rsidRPr="00DC4F35">
        <w:t xml:space="preserve">til </w:t>
      </w:r>
      <w:r w:rsidRPr="00DC4F35">
        <w:t>alle væsentlige og ikke-væsentlige skader, som den registrerede har pådraget sig, og ”</w:t>
      </w:r>
      <w:proofErr w:type="spellStart"/>
      <w:r w:rsidRPr="00DC4F35">
        <w:rPr>
          <w:i/>
          <w:iCs/>
        </w:rPr>
        <w:t>that</w:t>
      </w:r>
      <w:proofErr w:type="spellEnd"/>
      <w:r w:rsidRPr="00DC4F35">
        <w:rPr>
          <w:i/>
          <w:iCs/>
        </w:rPr>
        <w:t xml:space="preserve"> has </w:t>
      </w:r>
      <w:proofErr w:type="spellStart"/>
      <w:r w:rsidRPr="00DC4F35">
        <w:rPr>
          <w:i/>
          <w:iCs/>
        </w:rPr>
        <w:t>been</w:t>
      </w:r>
      <w:proofErr w:type="spellEnd"/>
      <w:r w:rsidRPr="00DC4F35">
        <w:rPr>
          <w:i/>
          <w:iCs/>
        </w:rPr>
        <w:t xml:space="preserve"> transferred in </w:t>
      </w:r>
      <w:proofErr w:type="spellStart"/>
      <w:r w:rsidRPr="00DC4F35">
        <w:rPr>
          <w:i/>
          <w:iCs/>
        </w:rPr>
        <w:t>response</w:t>
      </w:r>
      <w:proofErr w:type="spellEnd"/>
      <w:r w:rsidRPr="00DC4F35">
        <w:rPr>
          <w:i/>
          <w:iCs/>
        </w:rPr>
        <w:t xml:space="preserve"> to an </w:t>
      </w:r>
      <w:proofErr w:type="spellStart"/>
      <w:r w:rsidRPr="00DC4F35">
        <w:rPr>
          <w:i/>
          <w:iCs/>
        </w:rPr>
        <w:t>order</w:t>
      </w:r>
      <w:proofErr w:type="spellEnd"/>
      <w:r w:rsidRPr="00DC4F35">
        <w:rPr>
          <w:i/>
          <w:iCs/>
        </w:rPr>
        <w:t xml:space="preserve"> from a non-EU/EEA </w:t>
      </w:r>
      <w:proofErr w:type="spellStart"/>
      <w:r w:rsidRPr="00DC4F35">
        <w:rPr>
          <w:i/>
          <w:iCs/>
        </w:rPr>
        <w:t>government</w:t>
      </w:r>
      <w:proofErr w:type="spellEnd"/>
      <w:r w:rsidRPr="00DC4F35">
        <w:rPr>
          <w:i/>
          <w:iCs/>
        </w:rPr>
        <w:t xml:space="preserve"> body or </w:t>
      </w:r>
      <w:proofErr w:type="spellStart"/>
      <w:r w:rsidRPr="00DC4F35">
        <w:rPr>
          <w:i/>
          <w:iCs/>
        </w:rPr>
        <w:t>law</w:t>
      </w:r>
      <w:proofErr w:type="spellEnd"/>
      <w:r w:rsidRPr="00DC4F35">
        <w:rPr>
          <w:i/>
          <w:iCs/>
        </w:rPr>
        <w:t xml:space="preserve"> </w:t>
      </w:r>
      <w:proofErr w:type="spellStart"/>
      <w:r w:rsidRPr="00DC4F35">
        <w:rPr>
          <w:i/>
          <w:iCs/>
        </w:rPr>
        <w:t>enforcement</w:t>
      </w:r>
      <w:proofErr w:type="spellEnd"/>
      <w:r w:rsidRPr="00DC4F35">
        <w:rPr>
          <w:i/>
          <w:iCs/>
        </w:rPr>
        <w:t xml:space="preserve"> </w:t>
      </w:r>
      <w:proofErr w:type="spellStart"/>
      <w:r w:rsidRPr="00DC4F35">
        <w:rPr>
          <w:i/>
          <w:iCs/>
        </w:rPr>
        <w:t>agency</w:t>
      </w:r>
      <w:proofErr w:type="spellEnd"/>
      <w:r w:rsidRPr="00DC4F35">
        <w:rPr>
          <w:i/>
          <w:iCs/>
        </w:rPr>
        <w:t xml:space="preserve"> in </w:t>
      </w:r>
      <w:proofErr w:type="spellStart"/>
      <w:r w:rsidRPr="00DC4F35">
        <w:rPr>
          <w:i/>
          <w:iCs/>
        </w:rPr>
        <w:t>violation</w:t>
      </w:r>
      <w:proofErr w:type="spellEnd"/>
      <w:r w:rsidRPr="00DC4F35">
        <w:rPr>
          <w:i/>
          <w:iCs/>
        </w:rPr>
        <w:t xml:space="preserve"> of </w:t>
      </w:r>
      <w:proofErr w:type="spellStart"/>
      <w:r w:rsidRPr="00DC4F35">
        <w:rPr>
          <w:i/>
          <w:iCs/>
        </w:rPr>
        <w:t>Microsoft’s</w:t>
      </w:r>
      <w:proofErr w:type="spellEnd"/>
      <w:r w:rsidRPr="00DC4F35">
        <w:rPr>
          <w:i/>
          <w:iCs/>
        </w:rPr>
        <w:t xml:space="preserve"> obligations under </w:t>
      </w:r>
      <w:proofErr w:type="spellStart"/>
      <w:r w:rsidRPr="00DC4F35">
        <w:rPr>
          <w:i/>
          <w:iCs/>
        </w:rPr>
        <w:t>Chapter</w:t>
      </w:r>
      <w:proofErr w:type="spellEnd"/>
      <w:r w:rsidRPr="00DC4F35">
        <w:rPr>
          <w:i/>
          <w:iCs/>
        </w:rPr>
        <w:t xml:space="preserve"> V of the GDPR (a “Relevant Disclosure”).” </w:t>
      </w:r>
      <w:r w:rsidRPr="00DC4F35">
        <w:t xml:space="preserve"> Microsoft </w:t>
      </w:r>
      <w:r w:rsidR="00526629" w:rsidRPr="00DC4F35">
        <w:t xml:space="preserve">Ireland </w:t>
      </w:r>
      <w:r w:rsidRPr="00DC4F35">
        <w:t>oplister konkret en række betingelser for denne forpligtelse til skadesløsholdelse, herunder at den registrerede til Microsoft</w:t>
      </w:r>
      <w:r w:rsidR="00526629" w:rsidRPr="00DC4F35">
        <w:t xml:space="preserve"> Irelands</w:t>
      </w:r>
      <w:r w:rsidRPr="00DC4F35">
        <w:t xml:space="preserve"> rimelige tilfredsstillelse godtgør</w:t>
      </w:r>
      <w:r w:rsidR="00526629" w:rsidRPr="00DC4F35">
        <w:t xml:space="preserve"> følgende:</w:t>
      </w:r>
      <w:r w:rsidRPr="00DC4F35">
        <w:t xml:space="preserve"> </w:t>
      </w:r>
    </w:p>
    <w:p w14:paraId="38659055" w14:textId="77777777" w:rsidR="00753B87" w:rsidRPr="00DC4F35" w:rsidRDefault="00753B87" w:rsidP="00753B87">
      <w:pPr>
        <w:ind w:left="360"/>
        <w:rPr>
          <w:i/>
          <w:iCs/>
        </w:rPr>
      </w:pPr>
    </w:p>
    <w:p w14:paraId="515E11FF" w14:textId="02D48A6C" w:rsidR="00753B87" w:rsidRPr="00DC4F35" w:rsidRDefault="00753B87" w:rsidP="00142011">
      <w:pPr>
        <w:ind w:left="1843" w:hanging="567"/>
        <w:rPr>
          <w:i/>
          <w:iCs/>
        </w:rPr>
      </w:pPr>
      <w:r w:rsidRPr="00DC4F35">
        <w:rPr>
          <w:i/>
          <w:iCs/>
        </w:rPr>
        <w:t>”</w:t>
      </w:r>
    </w:p>
    <w:p w14:paraId="77861301" w14:textId="6BC236F9" w:rsidR="00753B87" w:rsidRPr="001C19E7" w:rsidRDefault="0036440D" w:rsidP="00142011">
      <w:pPr>
        <w:pStyle w:val="Listeafsnit"/>
        <w:numPr>
          <w:ilvl w:val="0"/>
          <w:numId w:val="37"/>
        </w:numPr>
        <w:ind w:left="1843" w:hanging="283"/>
        <w:rPr>
          <w:i/>
          <w:iCs/>
          <w:lang w:val="en-US"/>
        </w:rPr>
      </w:pPr>
      <w:r w:rsidRPr="001C19E7">
        <w:rPr>
          <w:i/>
          <w:iCs/>
          <w:lang w:val="en-US"/>
        </w:rPr>
        <w:t xml:space="preserve">Microsoft engaged in a Relevant Disclosure; </w:t>
      </w:r>
    </w:p>
    <w:p w14:paraId="72EE4B2D" w14:textId="14C3E84B" w:rsidR="00753B87" w:rsidRPr="001C19E7" w:rsidRDefault="0036440D" w:rsidP="00142011">
      <w:pPr>
        <w:pStyle w:val="Listeafsnit"/>
        <w:numPr>
          <w:ilvl w:val="0"/>
          <w:numId w:val="37"/>
        </w:numPr>
        <w:ind w:left="1843" w:hanging="283"/>
        <w:rPr>
          <w:i/>
          <w:iCs/>
          <w:lang w:val="en-US"/>
        </w:rPr>
      </w:pPr>
      <w:r w:rsidRPr="001C19E7">
        <w:rPr>
          <w:i/>
          <w:iCs/>
          <w:lang w:val="en-US"/>
        </w:rPr>
        <w:t>the Relevant Disclosure was the basis of an official proceeding by the non-EU/EEA government body or law enforcement agency against the data subject; and</w:t>
      </w:r>
    </w:p>
    <w:p w14:paraId="37E92A2E" w14:textId="3AB34636" w:rsidR="00753B87" w:rsidRPr="001C19E7" w:rsidRDefault="0036440D" w:rsidP="00142011">
      <w:pPr>
        <w:pStyle w:val="Listeafsnit"/>
        <w:numPr>
          <w:ilvl w:val="0"/>
          <w:numId w:val="37"/>
        </w:numPr>
        <w:ind w:left="1843" w:hanging="283"/>
        <w:rPr>
          <w:i/>
          <w:iCs/>
          <w:lang w:val="en-US"/>
        </w:rPr>
      </w:pPr>
      <w:r w:rsidRPr="001C19E7">
        <w:rPr>
          <w:i/>
          <w:iCs/>
          <w:lang w:val="en-US"/>
        </w:rPr>
        <w:t>the Relevant Disclosure directly caused the data subject to suffer material or non-material damage.</w:t>
      </w:r>
    </w:p>
    <w:p w14:paraId="313C8EF6" w14:textId="77777777" w:rsidR="00753B87" w:rsidRPr="001C19E7" w:rsidRDefault="00753B87" w:rsidP="00142011">
      <w:pPr>
        <w:ind w:left="1701"/>
        <w:rPr>
          <w:i/>
          <w:iCs/>
          <w:lang w:val="en-US"/>
        </w:rPr>
      </w:pPr>
    </w:p>
    <w:p w14:paraId="68507F61" w14:textId="0A994B9B" w:rsidR="00753B87" w:rsidRPr="001C19E7" w:rsidRDefault="0036440D" w:rsidP="00142011">
      <w:pPr>
        <w:ind w:left="1276"/>
        <w:rPr>
          <w:i/>
          <w:iCs/>
          <w:lang w:val="en-US"/>
        </w:rPr>
      </w:pPr>
      <w:r w:rsidRPr="001C19E7">
        <w:rPr>
          <w:i/>
          <w:iCs/>
          <w:lang w:val="en-US"/>
        </w:rPr>
        <w:t>The data subject bears the burden of proof with respect to conditions a. though c.</w:t>
      </w:r>
    </w:p>
    <w:p w14:paraId="3E3FA959" w14:textId="77777777" w:rsidR="00753B87" w:rsidRPr="001C19E7" w:rsidRDefault="00753B87" w:rsidP="00142011">
      <w:pPr>
        <w:ind w:left="1276"/>
        <w:rPr>
          <w:i/>
          <w:iCs/>
          <w:lang w:val="en-US"/>
        </w:rPr>
      </w:pPr>
    </w:p>
    <w:p w14:paraId="4971988B" w14:textId="35F61F73" w:rsidR="00753B87" w:rsidRPr="001C19E7" w:rsidRDefault="0036440D" w:rsidP="00142011">
      <w:pPr>
        <w:ind w:left="1276"/>
        <w:rPr>
          <w:i/>
          <w:iCs/>
          <w:lang w:val="en-US"/>
        </w:rPr>
      </w:pPr>
      <w:r w:rsidRPr="001C19E7">
        <w:rPr>
          <w:i/>
          <w:iCs/>
          <w:lang w:val="en-US"/>
        </w:rPr>
        <w:t xml:space="preserve">Notwithstanding the foregoing, Microsoft shall have no obligation to indemnify the data subject under Section 2 if Microsoft establishes that the Relevant Disclosure did not violate its obligations under Chapter V of the </w:t>
      </w:r>
      <w:proofErr w:type="gramStart"/>
      <w:r w:rsidRPr="001C19E7">
        <w:rPr>
          <w:i/>
          <w:iCs/>
          <w:lang w:val="en-US"/>
        </w:rPr>
        <w:t>GDPR.“</w:t>
      </w:r>
      <w:proofErr w:type="gramEnd"/>
    </w:p>
    <w:p w14:paraId="33895E16" w14:textId="77777777" w:rsidR="00753B87" w:rsidRPr="001C19E7" w:rsidRDefault="00753B87" w:rsidP="00FC7CF0">
      <w:pPr>
        <w:ind w:left="360"/>
        <w:rPr>
          <w:i/>
          <w:iCs/>
          <w:lang w:val="en-US"/>
        </w:rPr>
      </w:pPr>
    </w:p>
    <w:p w14:paraId="4F3C658B" w14:textId="3E2143B6" w:rsidR="00753B87" w:rsidRPr="00DC4F35" w:rsidRDefault="0036440D" w:rsidP="00FC7CF0">
      <w:r w:rsidRPr="00DC4F35">
        <w:t>Skadesløsholdelsens omfang er desuden begrænset til væsentlige og ikke-væsentlige skader, sådan som det fremgår af databeskyttelsesforordningen, og omfatter ikke følgeskader og alle andre skader, der ikke skyldes Microsofts krænkelse af databeskyttelsesforordningen.</w:t>
      </w:r>
    </w:p>
    <w:p w14:paraId="25865072" w14:textId="77777777" w:rsidR="00526629" w:rsidRPr="00DC4F35" w:rsidRDefault="00526629" w:rsidP="00FC7CF0"/>
    <w:p w14:paraId="340F6824" w14:textId="5BA95FE6" w:rsidR="00526629" w:rsidRPr="00DC4F35" w:rsidRDefault="00526629" w:rsidP="00FC7CF0">
      <w:r w:rsidRPr="00DC4F35">
        <w:t xml:space="preserve">Den nævnte skadesløsholdelse har dog i sagens natur ikke til formål at forhindre </w:t>
      </w:r>
      <w:r w:rsidR="00DB71C5" w:rsidRPr="00DC4F35">
        <w:t>en udlevering af personoplysninger til tredjelandes myndigheder, men er derimod en reaktiv foranstaltning til brug for tilfælde, hvor en sådan udlevering har fundet sted.</w:t>
      </w:r>
    </w:p>
    <w:p w14:paraId="0CF39E5D" w14:textId="77777777" w:rsidR="00753B87" w:rsidRPr="00DC4F35" w:rsidRDefault="00753B87" w:rsidP="00FC7CF0">
      <w:pPr>
        <w:pStyle w:val="ProductList-Body"/>
        <w:rPr>
          <w:b/>
          <w:bCs/>
          <w:i/>
          <w:iCs/>
          <w:sz w:val="20"/>
          <w:szCs w:val="22"/>
        </w:rPr>
      </w:pPr>
    </w:p>
    <w:p w14:paraId="06B45074" w14:textId="1D2F7B28" w:rsidR="00753B87" w:rsidRPr="00DC4F35" w:rsidRDefault="0036440D" w:rsidP="00FC7CF0">
      <w:pPr>
        <w:rPr>
          <w:b/>
          <w:bCs/>
        </w:rPr>
      </w:pPr>
      <w:r w:rsidRPr="00DC4F35">
        <w:rPr>
          <w:b/>
          <w:bCs/>
        </w:rPr>
        <w:t>Besked om ændringer i lovgivning</w:t>
      </w:r>
    </w:p>
    <w:p w14:paraId="07376E0F" w14:textId="7196DA40" w:rsidR="00753B87" w:rsidRPr="001C19E7" w:rsidRDefault="0036440D" w:rsidP="00753B87">
      <w:pPr>
        <w:rPr>
          <w:lang w:val="en-US"/>
        </w:rPr>
      </w:pPr>
      <w:r w:rsidRPr="00DC4F35">
        <w:t>Microsoft</w:t>
      </w:r>
      <w:r w:rsidR="00885CAF" w:rsidRPr="00DC4F35">
        <w:t xml:space="preserve"> Ireland</w:t>
      </w:r>
      <w:r w:rsidRPr="00DC4F35">
        <w:t xml:space="preserve"> forpligter sig i ”</w:t>
      </w:r>
      <w:r w:rsidRPr="00DC4F35">
        <w:rPr>
          <w:rFonts w:cstheme="minorHAnsi"/>
          <w:i/>
          <w:iCs/>
        </w:rPr>
        <w:t>Appendiks C-</w:t>
      </w:r>
      <w:r w:rsidRPr="00DC4F35">
        <w:rPr>
          <w:i/>
          <w:iCs/>
        </w:rPr>
        <w:t xml:space="preserve"> </w:t>
      </w:r>
      <w:proofErr w:type="spellStart"/>
      <w:r w:rsidRPr="00DC4F35">
        <w:rPr>
          <w:i/>
          <w:iCs/>
        </w:rPr>
        <w:t>Additional</w:t>
      </w:r>
      <w:proofErr w:type="spellEnd"/>
      <w:r w:rsidRPr="00DC4F35">
        <w:rPr>
          <w:i/>
          <w:iCs/>
        </w:rPr>
        <w:t xml:space="preserve"> </w:t>
      </w:r>
      <w:proofErr w:type="spellStart"/>
      <w:r w:rsidRPr="00DC4F35">
        <w:rPr>
          <w:i/>
          <w:iCs/>
        </w:rPr>
        <w:t>Safeguards</w:t>
      </w:r>
      <w:proofErr w:type="spellEnd"/>
      <w:r w:rsidRPr="00DC4F35">
        <w:rPr>
          <w:i/>
          <w:iCs/>
        </w:rPr>
        <w:t xml:space="preserve"> Addendum</w:t>
      </w:r>
      <w:r w:rsidRPr="00DC4F35">
        <w:rPr>
          <w:rFonts w:cstheme="minorHAnsi"/>
        </w:rPr>
        <w:t>” i Microsoft</w:t>
      </w:r>
      <w:r w:rsidR="00A534E6" w:rsidRPr="00DC4F35">
        <w:rPr>
          <w:rFonts w:cstheme="minorHAnsi"/>
        </w:rPr>
        <w:t xml:space="preserve"> Irelands </w:t>
      </w:r>
      <w:r w:rsidRPr="00DC4F35">
        <w:rPr>
          <w:rFonts w:cstheme="minorHAnsi"/>
        </w:rPr>
        <w:t xml:space="preserve">databehandleraftale endelig til straks at meddele </w:t>
      </w:r>
      <w:r w:rsidR="00F6280A" w:rsidRPr="00DC4F35">
        <w:rPr>
          <w:rFonts w:cstheme="minorHAnsi"/>
        </w:rPr>
        <w:t>De Dataansvarlige</w:t>
      </w:r>
      <w:r w:rsidRPr="00DC4F35">
        <w:rPr>
          <w:rFonts w:cstheme="minorHAnsi"/>
        </w:rPr>
        <w:t>, hvis</w:t>
      </w:r>
      <w:r w:rsidR="00F6280A" w:rsidRPr="00DC4F35">
        <w:rPr>
          <w:rFonts w:cstheme="minorHAnsi"/>
        </w:rPr>
        <w:t xml:space="preserve"> Microsoft</w:t>
      </w:r>
      <w:r w:rsidR="00A534E6" w:rsidRPr="00DC4F35">
        <w:rPr>
          <w:rFonts w:cstheme="minorHAnsi"/>
        </w:rPr>
        <w:t xml:space="preserve"> Ireland</w:t>
      </w:r>
      <w:r w:rsidRPr="00DC4F35">
        <w:rPr>
          <w:rFonts w:cstheme="minorHAnsi"/>
        </w:rPr>
        <w:t xml:space="preserve"> får kendskab til, </w:t>
      </w:r>
      <w:r w:rsidRPr="00DC4F35">
        <w:t>at den lovgivning, der gælder for Microsoft</w:t>
      </w:r>
      <w:r w:rsidR="00A534E6" w:rsidRPr="00DC4F35">
        <w:t xml:space="preserve"> Ireland</w:t>
      </w:r>
      <w:r w:rsidRPr="00DC4F35">
        <w:t xml:space="preserve"> eller Microsofts underbehandlere, herunder i ethvert land hvortil der sker en overførsel, forhindrer Microsoft</w:t>
      </w:r>
      <w:r w:rsidR="00A534E6" w:rsidRPr="00DC4F35">
        <w:t xml:space="preserve"> Ireland</w:t>
      </w:r>
      <w:r w:rsidRPr="00DC4F35">
        <w:t xml:space="preserve"> i at opfylde de anvisninger, der er modtaget fra </w:t>
      </w:r>
      <w:r w:rsidR="00F6280A" w:rsidRPr="00DC4F35">
        <w:t>De Dataansvarlige</w:t>
      </w:r>
      <w:r w:rsidRPr="00DC4F35">
        <w:t xml:space="preserve"> og Microsoft</w:t>
      </w:r>
      <w:r w:rsidR="00A534E6" w:rsidRPr="00DC4F35">
        <w:t xml:space="preserve"> Irelands</w:t>
      </w:r>
      <w:r w:rsidRPr="00DC4F35">
        <w:t xml:space="preserve"> forpligtelser i henhold til databehandleraftalen, inkl. EU-Kommissionens standardkontraktbestemmelser fra 2021. </w:t>
      </w:r>
      <w:r w:rsidR="00AA7A1A" w:rsidRPr="00DC4F35">
        <w:t xml:space="preserve">De Dataansvarlige </w:t>
      </w:r>
      <w:r w:rsidRPr="00DC4F35">
        <w:t xml:space="preserve">er i dette tilfælde berettiget til at suspendere overførslen og/eller bringe kontrakten til ophør. </w:t>
      </w:r>
      <w:r w:rsidRPr="001C19E7">
        <w:rPr>
          <w:lang w:val="en-US"/>
        </w:rPr>
        <w:t xml:space="preserve">Microsoft </w:t>
      </w:r>
      <w:r w:rsidR="00A534E6" w:rsidRPr="001C19E7">
        <w:rPr>
          <w:lang w:val="en-US"/>
        </w:rPr>
        <w:t xml:space="preserve">Ireland </w:t>
      </w:r>
      <w:proofErr w:type="spellStart"/>
      <w:r w:rsidRPr="001C19E7">
        <w:rPr>
          <w:lang w:val="en-US"/>
        </w:rPr>
        <w:t>angiver</w:t>
      </w:r>
      <w:proofErr w:type="spellEnd"/>
      <w:r w:rsidRPr="001C19E7">
        <w:rPr>
          <w:lang w:val="en-US"/>
        </w:rPr>
        <w:t xml:space="preserve"> </w:t>
      </w:r>
      <w:proofErr w:type="spellStart"/>
      <w:r w:rsidRPr="001C19E7">
        <w:rPr>
          <w:lang w:val="en-US"/>
        </w:rPr>
        <w:t>konkret</w:t>
      </w:r>
      <w:proofErr w:type="spellEnd"/>
      <w:r w:rsidRPr="001C19E7">
        <w:rPr>
          <w:lang w:val="en-US"/>
        </w:rPr>
        <w:t xml:space="preserve"> </w:t>
      </w:r>
      <w:proofErr w:type="spellStart"/>
      <w:r w:rsidRPr="001C19E7">
        <w:rPr>
          <w:lang w:val="en-US"/>
        </w:rPr>
        <w:t>følgende</w:t>
      </w:r>
      <w:proofErr w:type="spellEnd"/>
      <w:r w:rsidRPr="001C19E7">
        <w:rPr>
          <w:lang w:val="en-US"/>
        </w:rPr>
        <w:t xml:space="preserve">: </w:t>
      </w:r>
    </w:p>
    <w:p w14:paraId="27DD26AF" w14:textId="77777777" w:rsidR="00753B87" w:rsidRPr="001C19E7" w:rsidRDefault="00753B87" w:rsidP="00FC7CF0">
      <w:pPr>
        <w:rPr>
          <w:lang w:val="en-US"/>
        </w:rPr>
      </w:pPr>
    </w:p>
    <w:p w14:paraId="2519F00E" w14:textId="741DFE1D" w:rsidR="00753B87" w:rsidRPr="001C19E7" w:rsidRDefault="0036440D" w:rsidP="00753B87">
      <w:pPr>
        <w:ind w:left="1304"/>
        <w:rPr>
          <w:lang w:val="en-US"/>
        </w:rPr>
      </w:pPr>
      <w:r w:rsidRPr="001C19E7">
        <w:rPr>
          <w:lang w:val="en-US"/>
        </w:rPr>
        <w:t>“</w:t>
      </w:r>
      <w:r w:rsidRPr="001C19E7">
        <w:rPr>
          <w:i/>
          <w:iCs/>
          <w:lang w:val="en-US"/>
        </w:rPr>
        <w:t>Microsoft agrees and warrants that it has no reason to believe that the legislation applicable to it or its sub-processors, including in any country to which personal data is transferred either by itself or through a sub-processor, prevents it from fulfilling the instructions received from the Customer and its obligations under this Addendum or the 2021 Standard Contractual Clauses and that in the event of a change in this legislation which is likely to have a substantial adverse effect on the warranties and obligations provided by this Addendum or the Standard Contractual Clauses, it will promptly notify the change to Customer as soon as it is aware, in which case Customer is entitled to suspend the transfer of data and/or terminate the contract</w:t>
      </w:r>
      <w:r w:rsidRPr="001C19E7">
        <w:rPr>
          <w:lang w:val="en-US"/>
        </w:rPr>
        <w:t>.”</w:t>
      </w:r>
    </w:p>
    <w:p w14:paraId="7B1CB379" w14:textId="77777777" w:rsidR="00753B87" w:rsidRPr="001C19E7" w:rsidRDefault="00753B87" w:rsidP="00FC7CF0">
      <w:pPr>
        <w:ind w:left="1304"/>
        <w:rPr>
          <w:lang w:val="en-US"/>
        </w:rPr>
      </w:pPr>
    </w:p>
    <w:p w14:paraId="105209D2" w14:textId="3DAA81BE" w:rsidR="00753B87" w:rsidRPr="00DC4F35" w:rsidRDefault="0036440D" w:rsidP="00FC7CF0">
      <w:pPr>
        <w:rPr>
          <w:b/>
          <w:bCs/>
        </w:rPr>
      </w:pPr>
      <w:r w:rsidRPr="00DC4F35">
        <w:rPr>
          <w:b/>
          <w:bCs/>
        </w:rPr>
        <w:t>Forpligtelse til at benytte de tekniske og organisatoriske foranstaltninger</w:t>
      </w:r>
    </w:p>
    <w:p w14:paraId="42FFD4D3" w14:textId="14E46172" w:rsidR="0036440D" w:rsidRPr="00DC4F35" w:rsidRDefault="0036440D" w:rsidP="00FC7CF0">
      <w:r w:rsidRPr="00DC4F35">
        <w:t xml:space="preserve">Hvor der i denne </w:t>
      </w:r>
      <w:proofErr w:type="spellStart"/>
      <w:r w:rsidRPr="00DC4F35">
        <w:t>TIA’s</w:t>
      </w:r>
      <w:proofErr w:type="spellEnd"/>
      <w:r w:rsidRPr="00DC4F35">
        <w:t xml:space="preserve"> afsnit </w:t>
      </w:r>
      <w:r w:rsidR="00316556" w:rsidRPr="00DC4F35">
        <w:fldChar w:fldCharType="begin"/>
      </w:r>
      <w:r w:rsidR="00316556" w:rsidRPr="00DC4F35">
        <w:instrText xml:space="preserve"> REF _Ref165118377 \r \h </w:instrText>
      </w:r>
      <w:r w:rsidR="00316556" w:rsidRPr="00DC4F35">
        <w:fldChar w:fldCharType="separate"/>
      </w:r>
      <w:r w:rsidR="00C05EBE">
        <w:t>6.1</w:t>
      </w:r>
      <w:r w:rsidR="00316556" w:rsidRPr="00DC4F35">
        <w:fldChar w:fldCharType="end"/>
      </w:r>
      <w:r w:rsidRPr="00DC4F35">
        <w:t>-</w:t>
      </w:r>
      <w:r w:rsidR="00316556" w:rsidRPr="00DC4F35">
        <w:fldChar w:fldCharType="begin"/>
      </w:r>
      <w:r w:rsidR="00316556" w:rsidRPr="00DC4F35">
        <w:instrText xml:space="preserve"> REF _Ref167274627 \r \h </w:instrText>
      </w:r>
      <w:r w:rsidR="00316556" w:rsidRPr="00DC4F35">
        <w:fldChar w:fldCharType="separate"/>
      </w:r>
      <w:r w:rsidR="00C05EBE">
        <w:t>6.2</w:t>
      </w:r>
      <w:r w:rsidR="00316556" w:rsidRPr="00DC4F35">
        <w:fldChar w:fldCharType="end"/>
      </w:r>
      <w:r w:rsidRPr="00DC4F35">
        <w:t xml:space="preserve"> henvises til Microsoft </w:t>
      </w:r>
      <w:r w:rsidR="006A4820" w:rsidRPr="00DC4F35">
        <w:t xml:space="preserve">Irelands </w:t>
      </w:r>
      <w:r w:rsidRPr="00DC4F35">
        <w:t>databehandleraftale, har Microsoft</w:t>
      </w:r>
      <w:r w:rsidR="006A4820" w:rsidRPr="00DC4F35">
        <w:t xml:space="preserve"> Ireland</w:t>
      </w:r>
      <w:r w:rsidRPr="00DC4F35">
        <w:t xml:space="preserve"> kontraktuelt forpligtet sig til at implementere disse foranstaltninger.</w:t>
      </w:r>
    </w:p>
    <w:p w14:paraId="6B947C90" w14:textId="77777777" w:rsidR="0036440D" w:rsidRPr="00DC4F35" w:rsidRDefault="0036440D" w:rsidP="0036440D">
      <w:pPr>
        <w:rPr>
          <w:lang w:eastAsia="da-DK"/>
        </w:rPr>
      </w:pPr>
    </w:p>
    <w:p w14:paraId="3A7B9F51" w14:textId="04235024" w:rsidR="0036440D" w:rsidRPr="00DC4F35" w:rsidRDefault="00F600AB" w:rsidP="0036440D">
      <w:pPr>
        <w:pStyle w:val="Overskrift2"/>
      </w:pPr>
      <w:bookmarkStart w:id="103" w:name="_Toc66959794"/>
      <w:bookmarkStart w:id="104" w:name="_Ref164671013"/>
      <w:bookmarkStart w:id="105" w:name="_Toc170824051"/>
      <w:r w:rsidRPr="00DC4F35">
        <w:t>S</w:t>
      </w:r>
      <w:r w:rsidR="0036440D" w:rsidRPr="00DC4F35">
        <w:t>amlet vurdering</w:t>
      </w:r>
      <w:bookmarkEnd w:id="103"/>
      <w:bookmarkEnd w:id="104"/>
      <w:r w:rsidRPr="00DC4F35">
        <w:t xml:space="preserve"> og konklusion</w:t>
      </w:r>
      <w:bookmarkEnd w:id="105"/>
    </w:p>
    <w:p w14:paraId="51D35B01" w14:textId="6D402BDA" w:rsidR="0061305D" w:rsidRPr="00DC4F35" w:rsidRDefault="0061305D" w:rsidP="0061305D">
      <w:pPr>
        <w:pStyle w:val="Overskrift3"/>
      </w:pPr>
      <w:bookmarkStart w:id="106" w:name="_Toc170824052"/>
      <w:r w:rsidRPr="00DC4F35">
        <w:t>Indledende betragtninger</w:t>
      </w:r>
      <w:bookmarkEnd w:id="106"/>
    </w:p>
    <w:p w14:paraId="62458C01" w14:textId="223275AB" w:rsidR="00660648" w:rsidRPr="00DC4F35" w:rsidRDefault="00AA7A1A" w:rsidP="0036440D">
      <w:pPr>
        <w:rPr>
          <w:lang w:eastAsia="da-DK"/>
        </w:rPr>
      </w:pPr>
      <w:r w:rsidRPr="00DC4F35">
        <w:rPr>
          <w:rFonts w:cstheme="minorHAnsi"/>
          <w:iCs/>
        </w:rPr>
        <w:t xml:space="preserve">De Dataansvarlige </w:t>
      </w:r>
      <w:r w:rsidR="0036440D" w:rsidRPr="00DC4F35">
        <w:rPr>
          <w:rFonts w:cstheme="minorHAnsi"/>
          <w:iCs/>
        </w:rPr>
        <w:t xml:space="preserve">kan på baggrund af gennemgangen i trin 1 konstatere, at der i forbindelse med brugen af </w:t>
      </w:r>
      <w:r w:rsidR="00E0551D" w:rsidRPr="00DC4F35">
        <w:rPr>
          <w:rFonts w:cstheme="minorHAnsi"/>
          <w:iCs/>
        </w:rPr>
        <w:t>Microsoft 365</w:t>
      </w:r>
      <w:r w:rsidR="002557A9" w:rsidRPr="00DC4F35">
        <w:rPr>
          <w:rFonts w:cstheme="minorHAnsi"/>
          <w:iCs/>
        </w:rPr>
        <w:t xml:space="preserve"> </w:t>
      </w:r>
      <w:r w:rsidR="0036440D" w:rsidRPr="00DC4F35">
        <w:rPr>
          <w:rFonts w:cstheme="minorHAnsi"/>
          <w:iCs/>
        </w:rPr>
        <w:t xml:space="preserve">potentielt </w:t>
      </w:r>
      <w:r w:rsidR="008C5202" w:rsidRPr="00DC4F35">
        <w:rPr>
          <w:rFonts w:cstheme="minorHAnsi"/>
          <w:iCs/>
        </w:rPr>
        <w:t>kan ske</w:t>
      </w:r>
      <w:r w:rsidR="0036440D" w:rsidRPr="00DC4F35">
        <w:rPr>
          <w:rFonts w:cstheme="minorHAnsi"/>
          <w:iCs/>
        </w:rPr>
        <w:t xml:space="preserve"> overførsel af alle personoplysninger, som </w:t>
      </w:r>
      <w:r w:rsidRPr="00DC4F35">
        <w:rPr>
          <w:rFonts w:cstheme="minorHAnsi"/>
          <w:iCs/>
        </w:rPr>
        <w:t xml:space="preserve">De Dataansvarlige </w:t>
      </w:r>
      <w:r w:rsidR="0036440D" w:rsidRPr="00DC4F35">
        <w:rPr>
          <w:rFonts w:cstheme="minorHAnsi"/>
          <w:iCs/>
        </w:rPr>
        <w:t xml:space="preserve">vil behandle i forbindelse med deres brug af </w:t>
      </w:r>
      <w:r w:rsidR="00E0551D" w:rsidRPr="00DC4F35">
        <w:rPr>
          <w:rFonts w:cstheme="minorHAnsi"/>
          <w:iCs/>
        </w:rPr>
        <w:t>Microsoft 365</w:t>
      </w:r>
      <w:r w:rsidR="0036440D" w:rsidRPr="00DC4F35">
        <w:rPr>
          <w:rFonts w:cstheme="minorHAnsi"/>
          <w:iCs/>
        </w:rPr>
        <w:t>.</w:t>
      </w:r>
      <w:r w:rsidR="00F65A82" w:rsidRPr="00DC4F35">
        <w:rPr>
          <w:rFonts w:cstheme="minorHAnsi"/>
          <w:iCs/>
        </w:rPr>
        <w:t xml:space="preserve"> </w:t>
      </w:r>
      <w:r w:rsidR="000A2C98" w:rsidRPr="00DC4F35">
        <w:rPr>
          <w:lang w:eastAsia="da-DK"/>
        </w:rPr>
        <w:t xml:space="preserve">Overførslerne sker som belyst i trin 1 i forbindelse </w:t>
      </w:r>
      <w:r w:rsidR="000A2C98" w:rsidRPr="00DC4F35">
        <w:rPr>
          <w:lang w:eastAsia="da-DK"/>
        </w:rPr>
        <w:lastRenderedPageBreak/>
        <w:t xml:space="preserve">med Microsoft Irelands overladelse af personoplysninger til underdatabehandlere i tredjelande i forbindelse med levering af tjenesterne og services ved brug af Microsoft 365, hvor EU Data </w:t>
      </w:r>
      <w:proofErr w:type="spellStart"/>
      <w:r w:rsidR="000A2C98" w:rsidRPr="00DC4F35">
        <w:rPr>
          <w:lang w:eastAsia="da-DK"/>
        </w:rPr>
        <w:t>Boundary</w:t>
      </w:r>
      <w:proofErr w:type="spellEnd"/>
      <w:r w:rsidR="000A2C98" w:rsidRPr="00DC4F35">
        <w:rPr>
          <w:lang w:eastAsia="da-DK"/>
        </w:rPr>
        <w:t xml:space="preserve"> ikke finder anvendelse (tilsigtede overførsler). </w:t>
      </w:r>
    </w:p>
    <w:p w14:paraId="53CCD127" w14:textId="77777777" w:rsidR="00660648" w:rsidRPr="00DC4F35" w:rsidRDefault="00660648" w:rsidP="0036440D">
      <w:pPr>
        <w:rPr>
          <w:lang w:eastAsia="da-DK"/>
        </w:rPr>
      </w:pPr>
    </w:p>
    <w:p w14:paraId="787F4A22" w14:textId="2118E9C4" w:rsidR="0036440D" w:rsidRPr="00DC4F35" w:rsidRDefault="0036440D" w:rsidP="0036440D">
      <w:pPr>
        <w:rPr>
          <w:lang w:eastAsia="da-DK"/>
        </w:rPr>
      </w:pPr>
      <w:r w:rsidRPr="00DC4F35">
        <w:rPr>
          <w:rFonts w:cstheme="minorHAnsi"/>
          <w:iCs/>
        </w:rPr>
        <w:t>Der kan ske overførsel af følgende kategorier af personoplysninger:</w:t>
      </w:r>
    </w:p>
    <w:p w14:paraId="464BE4D3" w14:textId="77777777" w:rsidR="0036440D" w:rsidRPr="00DC4F35" w:rsidRDefault="0036440D" w:rsidP="0036440D">
      <w:pPr>
        <w:rPr>
          <w:color w:val="FF0000"/>
          <w:lang w:eastAsia="da-DK"/>
        </w:rPr>
      </w:pPr>
    </w:p>
    <w:p w14:paraId="589D32E5" w14:textId="1D60DB9E" w:rsidR="006A44E6" w:rsidRPr="00DC4F35" w:rsidRDefault="006A44E6" w:rsidP="00142011">
      <w:pPr>
        <w:pStyle w:val="Punktopstilling"/>
        <w:numPr>
          <w:ilvl w:val="0"/>
          <w:numId w:val="57"/>
        </w:numPr>
        <w:tabs>
          <w:tab w:val="clear" w:pos="964"/>
          <w:tab w:val="num" w:pos="709"/>
        </w:tabs>
        <w:ind w:left="709" w:hanging="425"/>
      </w:pPr>
      <w:r w:rsidRPr="00DC4F35">
        <w:rPr>
          <w:b/>
          <w:bCs w:val="0"/>
        </w:rPr>
        <w:t>Customer Data</w:t>
      </w:r>
      <w:r w:rsidRPr="00DC4F35">
        <w:t>, der kan være alle personoplysninger, herunder også følsomme og fortrolige samt oplysninger om strafbare forhold</w:t>
      </w:r>
      <w:r w:rsidR="00316556" w:rsidRPr="00DC4F35">
        <w:t>.</w:t>
      </w:r>
      <w:r w:rsidRPr="00DC4F35">
        <w:t xml:space="preserve"> </w:t>
      </w:r>
    </w:p>
    <w:p w14:paraId="21B65F39" w14:textId="0FB7FC55" w:rsidR="006A44E6" w:rsidRPr="00DC4F35" w:rsidRDefault="006A44E6" w:rsidP="00142011">
      <w:pPr>
        <w:pStyle w:val="Punktopstilling"/>
        <w:numPr>
          <w:ilvl w:val="0"/>
          <w:numId w:val="57"/>
        </w:numPr>
        <w:tabs>
          <w:tab w:val="clear" w:pos="964"/>
          <w:tab w:val="num" w:pos="709"/>
        </w:tabs>
        <w:ind w:left="709" w:hanging="425"/>
      </w:pPr>
      <w:r w:rsidRPr="00DC4F35">
        <w:rPr>
          <w:b/>
          <w:bCs w:val="0"/>
        </w:rPr>
        <w:t>Professional Services Data</w:t>
      </w:r>
      <w:r w:rsidRPr="00DC4F35">
        <w:t>, herunder både personoplysninger</w:t>
      </w:r>
      <w:r w:rsidR="002D0E41" w:rsidRPr="00DC4F35">
        <w:t>,</w:t>
      </w:r>
      <w:r w:rsidRPr="00DC4F35">
        <w:t xml:space="preserve"> som en bruger selv har givet til Microsoft</w:t>
      </w:r>
      <w:r w:rsidR="002D0E41" w:rsidRPr="00DC4F35">
        <w:t xml:space="preserve"> Ireland</w:t>
      </w:r>
      <w:r w:rsidRPr="00DC4F35">
        <w:t xml:space="preserve"> i</w:t>
      </w:r>
      <w:r w:rsidR="002D0E41" w:rsidRPr="00DC4F35">
        <w:t xml:space="preserve"> forbindelse med</w:t>
      </w:r>
      <w:r w:rsidRPr="00DC4F35">
        <w:t xml:space="preserve"> support</w:t>
      </w:r>
      <w:r w:rsidR="002D0E41" w:rsidRPr="00DC4F35">
        <w:t>,</w:t>
      </w:r>
      <w:r w:rsidRPr="00DC4F35">
        <w:t xml:space="preserve"> og personoplysninger</w:t>
      </w:r>
      <w:r w:rsidR="00316556" w:rsidRPr="00DC4F35">
        <w:t>,</w:t>
      </w:r>
      <w:r w:rsidRPr="00DC4F35">
        <w:t xml:space="preserve"> som indsamles af Microsoft i forbindelse hermed for at løse supportopgaven.</w:t>
      </w:r>
    </w:p>
    <w:p w14:paraId="6C6FD3FD" w14:textId="10A29BBD" w:rsidR="006A44E6" w:rsidRPr="00DC4F35" w:rsidRDefault="006A44E6" w:rsidP="00142011">
      <w:pPr>
        <w:pStyle w:val="Punktopstilling"/>
        <w:numPr>
          <w:ilvl w:val="0"/>
          <w:numId w:val="57"/>
        </w:numPr>
        <w:tabs>
          <w:tab w:val="clear" w:pos="964"/>
          <w:tab w:val="num" w:pos="709"/>
        </w:tabs>
        <w:ind w:left="709" w:hanging="425"/>
      </w:pPr>
      <w:r w:rsidRPr="00DC4F35">
        <w:rPr>
          <w:b/>
          <w:bCs w:val="0"/>
        </w:rPr>
        <w:t xml:space="preserve">Microsoft Entra </w:t>
      </w:r>
      <w:proofErr w:type="spellStart"/>
      <w:r w:rsidRPr="00DC4F35">
        <w:rPr>
          <w:b/>
          <w:bCs w:val="0"/>
        </w:rPr>
        <w:t>ID’s</w:t>
      </w:r>
      <w:proofErr w:type="spellEnd"/>
      <w:r w:rsidRPr="00DC4F35">
        <w:rPr>
          <w:b/>
          <w:bCs w:val="0"/>
        </w:rPr>
        <w:t xml:space="preserve"> oplysninger (herefter ”ID-oplysninger”)</w:t>
      </w:r>
      <w:r w:rsidRPr="00DC4F35">
        <w:t xml:space="preserve"> (navn, brugernavn, arbejdsmail, arbejdstelefonnummer og stillingsbetegnelse)</w:t>
      </w:r>
      <w:r w:rsidR="00316556" w:rsidRPr="00DC4F35">
        <w:t>.</w:t>
      </w:r>
    </w:p>
    <w:p w14:paraId="1924794A" w14:textId="4A8DF6A0" w:rsidR="006A44E6" w:rsidRPr="00DC4F35" w:rsidRDefault="006A44E6" w:rsidP="00142011">
      <w:pPr>
        <w:pStyle w:val="Punktopstilling"/>
        <w:numPr>
          <w:ilvl w:val="0"/>
          <w:numId w:val="57"/>
        </w:numPr>
        <w:tabs>
          <w:tab w:val="clear" w:pos="964"/>
          <w:tab w:val="num" w:pos="709"/>
        </w:tabs>
        <w:ind w:left="709" w:hanging="425"/>
      </w:pPr>
      <w:proofErr w:type="spellStart"/>
      <w:r w:rsidRPr="00DC4F35">
        <w:rPr>
          <w:b/>
          <w:bCs w:val="0"/>
        </w:rPr>
        <w:t>Pseudonymiserede</w:t>
      </w:r>
      <w:proofErr w:type="spellEnd"/>
      <w:r w:rsidRPr="00DC4F35">
        <w:rPr>
          <w:b/>
          <w:bCs w:val="0"/>
        </w:rPr>
        <w:t xml:space="preserve"> brugs-/logoplysninger</w:t>
      </w:r>
      <w:r w:rsidRPr="00DC4F35">
        <w:t xml:space="preserve"> i </w:t>
      </w:r>
      <w:proofErr w:type="spellStart"/>
      <w:r w:rsidRPr="00DC4F35">
        <w:t>Diagnostic</w:t>
      </w:r>
      <w:proofErr w:type="spellEnd"/>
      <w:r w:rsidRPr="00DC4F35">
        <w:t xml:space="preserve"> Data og System-</w:t>
      </w:r>
      <w:proofErr w:type="spellStart"/>
      <w:r w:rsidRPr="00DC4F35">
        <w:t>Generated</w:t>
      </w:r>
      <w:proofErr w:type="spellEnd"/>
      <w:r w:rsidRPr="00DC4F35">
        <w:t xml:space="preserve"> Logs</w:t>
      </w:r>
      <w:r w:rsidR="00316556" w:rsidRPr="00DC4F35">
        <w:t>.</w:t>
      </w:r>
    </w:p>
    <w:p w14:paraId="274DC069" w14:textId="77777777" w:rsidR="006A44E6" w:rsidRPr="00DC4F35" w:rsidRDefault="006A44E6" w:rsidP="00142011">
      <w:pPr>
        <w:pStyle w:val="Punktopstilling"/>
        <w:numPr>
          <w:ilvl w:val="0"/>
          <w:numId w:val="57"/>
        </w:numPr>
        <w:tabs>
          <w:tab w:val="clear" w:pos="964"/>
          <w:tab w:val="num" w:pos="709"/>
        </w:tabs>
        <w:ind w:left="709" w:hanging="425"/>
      </w:pPr>
      <w:r w:rsidRPr="00DC4F35">
        <w:rPr>
          <w:b/>
          <w:bCs w:val="0"/>
        </w:rPr>
        <w:t>Tekniske oplysninger</w:t>
      </w:r>
      <w:r w:rsidRPr="00DC4F35">
        <w:t xml:space="preserve"> (MAC-adresse og De Dataansvarliges ip-adresse).</w:t>
      </w:r>
    </w:p>
    <w:p w14:paraId="65098725" w14:textId="55155D57" w:rsidR="00EB4DED" w:rsidRPr="00DC4F35" w:rsidRDefault="003D45AE" w:rsidP="00660648">
      <w:pPr>
        <w:rPr>
          <w:lang w:eastAsia="da-DK"/>
        </w:rPr>
      </w:pPr>
      <w:r w:rsidRPr="00DC4F35">
        <w:rPr>
          <w:lang w:eastAsia="da-DK"/>
        </w:rPr>
        <w:t>I det følgende foretages en vurdering af overførslerne af de enkelte ovennævnte datakategorier, idet v</w:t>
      </w:r>
      <w:r w:rsidR="00660648" w:rsidRPr="00DC4F35">
        <w:rPr>
          <w:lang w:eastAsia="da-DK"/>
        </w:rPr>
        <w:t xml:space="preserve">urderingen vil </w:t>
      </w:r>
      <w:r w:rsidRPr="00DC4F35">
        <w:rPr>
          <w:lang w:eastAsia="da-DK"/>
        </w:rPr>
        <w:t xml:space="preserve">ske efter en risikovurdering </w:t>
      </w:r>
      <w:r w:rsidR="00660648" w:rsidRPr="00DC4F35">
        <w:rPr>
          <w:lang w:eastAsia="da-DK"/>
        </w:rPr>
        <w:t xml:space="preserve">efter de i afsnit </w:t>
      </w:r>
      <w:r w:rsidR="00660648" w:rsidRPr="00DC4F35">
        <w:rPr>
          <w:lang w:eastAsia="da-DK"/>
        </w:rPr>
        <w:fldChar w:fldCharType="begin"/>
      </w:r>
      <w:r w:rsidR="00660648" w:rsidRPr="00DC4F35">
        <w:rPr>
          <w:lang w:eastAsia="da-DK"/>
        </w:rPr>
        <w:instrText xml:space="preserve"> REF _Ref165122890 \r \h  \* MERGEFORMAT </w:instrText>
      </w:r>
      <w:r w:rsidR="00660648" w:rsidRPr="00DC4F35">
        <w:rPr>
          <w:lang w:eastAsia="da-DK"/>
        </w:rPr>
      </w:r>
      <w:r w:rsidR="00660648" w:rsidRPr="00DC4F35">
        <w:rPr>
          <w:lang w:eastAsia="da-DK"/>
        </w:rPr>
        <w:fldChar w:fldCharType="separate"/>
      </w:r>
      <w:r w:rsidR="00C05EBE">
        <w:rPr>
          <w:lang w:eastAsia="da-DK"/>
        </w:rPr>
        <w:t>5.4</w:t>
      </w:r>
      <w:r w:rsidR="00660648" w:rsidRPr="00DC4F35">
        <w:rPr>
          <w:lang w:eastAsia="da-DK"/>
        </w:rPr>
        <w:fldChar w:fldCharType="end"/>
      </w:r>
      <w:r w:rsidR="00660648" w:rsidRPr="00DC4F35">
        <w:rPr>
          <w:lang w:eastAsia="da-DK"/>
        </w:rPr>
        <w:t xml:space="preserve"> anførte betragtninger. </w:t>
      </w:r>
      <w:r w:rsidR="00FD40DC" w:rsidRPr="00DC4F35">
        <w:rPr>
          <w:lang w:eastAsia="da-DK"/>
        </w:rPr>
        <w:t>Der vil således skulle tages hensyn til omstændighederne ved overførslerne, herunder de involverede datas karakter</w:t>
      </w:r>
      <w:r w:rsidR="00EA6184" w:rsidRPr="00DC4F35">
        <w:rPr>
          <w:lang w:eastAsia="da-DK"/>
        </w:rPr>
        <w:t>, idet der generelt vil være større risici for de registreredes rettigheder og frihedsrettigheder forbundet med udlevering af følsomme og fortrolige personoplysninger end ikke-følsomme personoplysninger. Der vil også skulle tages hensyn til</w:t>
      </w:r>
      <w:r w:rsidR="00FD40DC" w:rsidRPr="00DC4F35">
        <w:rPr>
          <w:lang w:eastAsia="da-DK"/>
        </w:rPr>
        <w:t xml:space="preserve"> de fastsatte </w:t>
      </w:r>
      <w:r w:rsidR="00481F96" w:rsidRPr="00DC4F35">
        <w:rPr>
          <w:lang w:eastAsia="da-DK"/>
        </w:rPr>
        <w:t xml:space="preserve">tekniske, organisatoriske og kontraktuelle </w:t>
      </w:r>
      <w:r w:rsidR="00FD40DC" w:rsidRPr="00DC4F35">
        <w:rPr>
          <w:lang w:eastAsia="da-DK"/>
        </w:rPr>
        <w:t>foranstaltninger med henblik på at sikre et fornødent beskyttelsesniveau</w:t>
      </w:r>
      <w:r w:rsidR="00307F32" w:rsidRPr="00DC4F35">
        <w:rPr>
          <w:lang w:eastAsia="da-DK"/>
        </w:rPr>
        <w:t>, jf. afsnit 6.1-6.3 ovenfor</w:t>
      </w:r>
      <w:r w:rsidR="006C3022" w:rsidRPr="00DC4F35">
        <w:rPr>
          <w:lang w:eastAsia="da-DK"/>
        </w:rPr>
        <w:t>, ligesom erfaringer med udleveringer spiller en væsentlig rolle.</w:t>
      </w:r>
      <w:r w:rsidR="0072014B">
        <w:rPr>
          <w:lang w:eastAsia="da-DK"/>
        </w:rPr>
        <w:t xml:space="preserve"> </w:t>
      </w:r>
      <w:r w:rsidR="0072014B">
        <w:rPr>
          <w:iCs/>
        </w:rPr>
        <w:t xml:space="preserve">Ved risikovurderingen må der endvidere henses til, at den dataansvarlige efter databeskyttelsesforordningen ikke har pligt til at identificere og vurdere risici, der må anses for at være af hypotetisk karakter, fordi sandsynligheden for risikoens realisering vurderes at være ikke eksisterende. </w:t>
      </w:r>
    </w:p>
    <w:p w14:paraId="43713A3D" w14:textId="77777777" w:rsidR="00EB4DED" w:rsidRPr="00DC4F35" w:rsidRDefault="00EB4DED" w:rsidP="00660648">
      <w:pPr>
        <w:rPr>
          <w:lang w:eastAsia="da-DK"/>
        </w:rPr>
      </w:pPr>
    </w:p>
    <w:p w14:paraId="0FE7AC2C" w14:textId="77777777" w:rsidR="00500B20" w:rsidRPr="00DC4F35" w:rsidRDefault="00646C86" w:rsidP="00660648">
      <w:pPr>
        <w:rPr>
          <w:lang w:eastAsia="da-DK"/>
        </w:rPr>
      </w:pPr>
      <w:r w:rsidRPr="00DC4F35">
        <w:rPr>
          <w:lang w:eastAsia="da-DK"/>
        </w:rPr>
        <w:t>Der vil ved foretagelsen af overførslerne</w:t>
      </w:r>
      <w:r w:rsidR="00157137" w:rsidRPr="00DC4F35">
        <w:rPr>
          <w:lang w:eastAsia="da-DK"/>
        </w:rPr>
        <w:t xml:space="preserve"> –</w:t>
      </w:r>
      <w:r w:rsidR="00500B20" w:rsidRPr="00DC4F35">
        <w:rPr>
          <w:lang w:eastAsia="da-DK"/>
        </w:rPr>
        <w:t xml:space="preserve"> </w:t>
      </w:r>
      <w:r w:rsidR="008D29D1" w:rsidRPr="00DC4F35">
        <w:rPr>
          <w:lang w:eastAsia="da-DK"/>
        </w:rPr>
        <w:t>dvs. hvor personoplysningerne er i transit eller momentant opbevares i tredjelandet</w:t>
      </w:r>
      <w:r w:rsidR="00157137" w:rsidRPr="00DC4F35">
        <w:rPr>
          <w:lang w:eastAsia="da-DK"/>
        </w:rPr>
        <w:t xml:space="preserve"> –</w:t>
      </w:r>
      <w:r w:rsidRPr="00DC4F35">
        <w:rPr>
          <w:lang w:eastAsia="da-DK"/>
        </w:rPr>
        <w:t xml:space="preserve"> være tale om to centrale risikoscenarier: </w:t>
      </w:r>
    </w:p>
    <w:p w14:paraId="2C01CA90" w14:textId="77777777" w:rsidR="00500B20" w:rsidRPr="00DC4F35" w:rsidRDefault="00500B20" w:rsidP="00660648">
      <w:pPr>
        <w:rPr>
          <w:lang w:eastAsia="da-DK"/>
        </w:rPr>
      </w:pPr>
    </w:p>
    <w:p w14:paraId="3FF3087E" w14:textId="4D5A18CF" w:rsidR="00500B20" w:rsidRPr="00DC4F35" w:rsidRDefault="00CD67AE" w:rsidP="00500B20">
      <w:pPr>
        <w:pStyle w:val="Listeafsnit"/>
        <w:numPr>
          <w:ilvl w:val="1"/>
          <w:numId w:val="62"/>
        </w:numPr>
        <w:rPr>
          <w:lang w:eastAsia="da-DK"/>
        </w:rPr>
      </w:pPr>
      <w:r w:rsidRPr="00DC4F35">
        <w:t xml:space="preserve">Risiko for, at de personoplysninger, som i disse tilfælde befinder sig i det pågældende tredjeland kræves udleveret af retshåndhævende myndigheder og efterretningstjenester i henhold til tredjelands ret med henblik på disses behandling af personoplysningerne til retshåndhævelse, efterforskning </w:t>
      </w:r>
      <w:proofErr w:type="spellStart"/>
      <w:r w:rsidRPr="00DC4F35">
        <w:t>o.lign</w:t>
      </w:r>
      <w:proofErr w:type="spellEnd"/>
      <w:r w:rsidRPr="00DC4F35">
        <w:t>.</w:t>
      </w:r>
      <w:r w:rsidRPr="00DC4F35">
        <w:rPr>
          <w:lang w:eastAsia="da-DK"/>
        </w:rPr>
        <w:t xml:space="preserve"> (udleveringsanmodninger)</w:t>
      </w:r>
      <w:r w:rsidR="00157137" w:rsidRPr="00DC4F35">
        <w:rPr>
          <w:lang w:eastAsia="da-DK"/>
        </w:rPr>
        <w:t xml:space="preserve">, og </w:t>
      </w:r>
    </w:p>
    <w:p w14:paraId="763A70DA" w14:textId="7EB045F0" w:rsidR="00500B20" w:rsidRPr="00DC4F35" w:rsidRDefault="008D29D1" w:rsidP="00500B20">
      <w:pPr>
        <w:pStyle w:val="Listeafsnit"/>
        <w:numPr>
          <w:ilvl w:val="1"/>
          <w:numId w:val="62"/>
        </w:numPr>
        <w:rPr>
          <w:lang w:eastAsia="da-DK"/>
        </w:rPr>
      </w:pPr>
      <w:r w:rsidRPr="00DC4F35">
        <w:rPr>
          <w:lang w:eastAsia="da-DK"/>
        </w:rPr>
        <w:t xml:space="preserve">situationer, hvor tredjelandes myndigheder ”opsnapper” personoplysningerne uden </w:t>
      </w:r>
      <w:r w:rsidR="0088187A" w:rsidRPr="00DC4F35">
        <w:rPr>
          <w:lang w:eastAsia="da-DK"/>
        </w:rPr>
        <w:t xml:space="preserve">udtrykkelig udleveringsanmodning </w:t>
      </w:r>
      <w:r w:rsidR="00CC07C5" w:rsidRPr="00DC4F35">
        <w:rPr>
          <w:lang w:eastAsia="da-DK"/>
        </w:rPr>
        <w:t>til samme formål.</w:t>
      </w:r>
    </w:p>
    <w:p w14:paraId="3E025A27" w14:textId="77777777" w:rsidR="00500B20" w:rsidRPr="00DC4F35" w:rsidRDefault="00500B20" w:rsidP="00500B20">
      <w:pPr>
        <w:rPr>
          <w:lang w:eastAsia="da-DK"/>
        </w:rPr>
      </w:pPr>
    </w:p>
    <w:p w14:paraId="3E70BC3B" w14:textId="128972B6" w:rsidR="00326837" w:rsidRPr="00DC4F35" w:rsidRDefault="00326837" w:rsidP="00500B20">
      <w:pPr>
        <w:rPr>
          <w:lang w:eastAsia="da-DK"/>
        </w:rPr>
      </w:pPr>
      <w:r w:rsidRPr="00DC4F35">
        <w:rPr>
          <w:lang w:eastAsia="da-DK"/>
        </w:rPr>
        <w:lastRenderedPageBreak/>
        <w:t xml:space="preserve">Disse scenarier behandles samlet under gennemgangen af de enkelte datakategorier i det følgende. </w:t>
      </w:r>
    </w:p>
    <w:p w14:paraId="2EED3F58" w14:textId="77777777" w:rsidR="00326837" w:rsidRPr="00DC4F35" w:rsidRDefault="00326837" w:rsidP="00660648">
      <w:pPr>
        <w:rPr>
          <w:lang w:eastAsia="da-DK"/>
        </w:rPr>
      </w:pPr>
    </w:p>
    <w:p w14:paraId="554D73C5" w14:textId="77777777" w:rsidR="00AB6B7E" w:rsidRPr="00DC4F35" w:rsidRDefault="00D74FDF" w:rsidP="00076659">
      <w:pPr>
        <w:rPr>
          <w:lang w:eastAsia="da-DK"/>
        </w:rPr>
      </w:pPr>
      <w:r w:rsidRPr="00DC4F35">
        <w:rPr>
          <w:lang w:eastAsia="da-DK"/>
        </w:rPr>
        <w:t>For så vidt angår situation 1 (udleveringsanmodninger) skal det i</w:t>
      </w:r>
      <w:r w:rsidR="00D92095" w:rsidRPr="00DC4F35">
        <w:rPr>
          <w:lang w:eastAsia="da-DK"/>
        </w:rPr>
        <w:t xml:space="preserve">ndledningsvis generelt bemærkes, at Microsoft har oplyst, at </w:t>
      </w:r>
      <w:r w:rsidR="00CC2A82" w:rsidRPr="00DC4F35">
        <w:rPr>
          <w:lang w:eastAsia="da-DK"/>
        </w:rPr>
        <w:t>Microsoft aldrig har udleveret personoplysninger – uanset om der er tale om personoplysninger i Customer data eller øvrige former for datakategorier – tilhørende en EU offentlig myndighed (</w:t>
      </w:r>
      <w:proofErr w:type="gramStart"/>
      <w:r w:rsidR="00CC2A82" w:rsidRPr="00DC4F35">
        <w:rPr>
          <w:lang w:eastAsia="da-DK"/>
        </w:rPr>
        <w:t>EU public</w:t>
      </w:r>
      <w:proofErr w:type="gramEnd"/>
      <w:r w:rsidR="00CC2A82" w:rsidRPr="00DC4F35">
        <w:rPr>
          <w:lang w:eastAsia="da-DK"/>
        </w:rPr>
        <w:t xml:space="preserve"> </w:t>
      </w:r>
      <w:proofErr w:type="spellStart"/>
      <w:r w:rsidR="00CC2A82" w:rsidRPr="00DC4F35">
        <w:rPr>
          <w:lang w:eastAsia="da-DK"/>
        </w:rPr>
        <w:t>sector</w:t>
      </w:r>
      <w:proofErr w:type="spellEnd"/>
      <w:r w:rsidR="00CC2A82" w:rsidRPr="00DC4F35">
        <w:rPr>
          <w:lang w:eastAsia="da-DK"/>
        </w:rPr>
        <w:t xml:space="preserve"> </w:t>
      </w:r>
      <w:proofErr w:type="spellStart"/>
      <w:r w:rsidR="00CC2A82" w:rsidRPr="00DC4F35">
        <w:rPr>
          <w:lang w:eastAsia="da-DK"/>
        </w:rPr>
        <w:t>customer</w:t>
      </w:r>
      <w:proofErr w:type="spellEnd"/>
      <w:r w:rsidR="00CC2A82" w:rsidRPr="00DC4F35">
        <w:rPr>
          <w:lang w:eastAsia="da-DK"/>
        </w:rPr>
        <w:t>) til retshåndhævende myndigheder i tredjelande. Se herom nærmere afsnit 3.1.2.3 ovenfor</w:t>
      </w:r>
      <w:r w:rsidR="00BD005B" w:rsidRPr="00DC4F35">
        <w:rPr>
          <w:lang w:eastAsia="da-DK"/>
        </w:rPr>
        <w:t>.</w:t>
      </w:r>
      <w:r w:rsidR="007C18BE" w:rsidRPr="00DC4F35">
        <w:rPr>
          <w:lang w:eastAsia="da-DK"/>
        </w:rPr>
        <w:t xml:space="preserve"> </w:t>
      </w:r>
    </w:p>
    <w:p w14:paraId="7F99BF66" w14:textId="77777777" w:rsidR="00A56FB7" w:rsidRPr="00DC4F35" w:rsidRDefault="00A56FB7" w:rsidP="00076659">
      <w:pPr>
        <w:rPr>
          <w:lang w:eastAsia="da-DK"/>
        </w:rPr>
      </w:pPr>
    </w:p>
    <w:p w14:paraId="0CE4F78F" w14:textId="04BC12CB" w:rsidR="00A56FB7" w:rsidRPr="00DC4F35" w:rsidRDefault="00A56FB7" w:rsidP="00A56FB7">
      <w:pPr>
        <w:rPr>
          <w:lang w:eastAsia="da-DK"/>
        </w:rPr>
      </w:pPr>
      <w:r w:rsidRPr="00DC4F35">
        <w:rPr>
          <w:lang w:eastAsia="da-DK"/>
        </w:rPr>
        <w:t xml:space="preserve">Hertil kommer, at for at det overhovedet skulle være muligt for det pågældende tredjelands myndigheder at få udleveret personoplysninger ved en udleveringsanmodning (eller tvinge sig adgang hertil på anden vis), skulle  </w:t>
      </w:r>
    </w:p>
    <w:p w14:paraId="7C782528" w14:textId="77777777" w:rsidR="00A56FB7" w:rsidRPr="00DC4F35" w:rsidRDefault="00A56FB7" w:rsidP="00A56FB7">
      <w:pPr>
        <w:rPr>
          <w:lang w:eastAsia="da-DK"/>
        </w:rPr>
      </w:pPr>
    </w:p>
    <w:p w14:paraId="12F11EC7" w14:textId="02EEB32C" w:rsidR="00A56FB7" w:rsidRPr="00DC4F35" w:rsidRDefault="00A56FB7" w:rsidP="00A56FB7">
      <w:pPr>
        <w:pStyle w:val="Listeafsnit"/>
        <w:numPr>
          <w:ilvl w:val="0"/>
          <w:numId w:val="65"/>
        </w:numPr>
        <w:rPr>
          <w:lang w:eastAsia="da-DK"/>
        </w:rPr>
      </w:pPr>
      <w:r w:rsidRPr="00DC4F35">
        <w:rPr>
          <w:lang w:eastAsia="da-DK"/>
        </w:rPr>
        <w:t xml:space="preserve">personoplysningerne være overført til det pågældende tredjeland (evt. under transit) i et af de få tilfælde, hvor der faktisk er behov for dette, idet der så vidt muligt anvendes andre muligheder, herunder ingen behandling af personoplysninger eller kun behandling heraf ved fjernadgang, </w:t>
      </w:r>
    </w:p>
    <w:p w14:paraId="1B399631" w14:textId="77777777" w:rsidR="00A56FB7" w:rsidRPr="00DC4F35" w:rsidRDefault="00A56FB7" w:rsidP="00A56FB7">
      <w:pPr>
        <w:pStyle w:val="Listeafsnit"/>
        <w:numPr>
          <w:ilvl w:val="0"/>
          <w:numId w:val="65"/>
        </w:numPr>
        <w:rPr>
          <w:lang w:eastAsia="da-DK"/>
        </w:rPr>
      </w:pPr>
      <w:r w:rsidRPr="00DC4F35">
        <w:rPr>
          <w:lang w:eastAsia="da-DK"/>
        </w:rPr>
        <w:t>den pågældende myndighed i tredjelandet vide, at der er personoplysninger af interesse hos underdatabehandleren i tredjelandet, og</w:t>
      </w:r>
    </w:p>
    <w:p w14:paraId="634FC60B" w14:textId="27C91756" w:rsidR="00A56FB7" w:rsidRPr="00DC4F35" w:rsidRDefault="00A56FB7" w:rsidP="00A56FB7">
      <w:pPr>
        <w:pStyle w:val="Listeafsnit"/>
        <w:numPr>
          <w:ilvl w:val="0"/>
          <w:numId w:val="65"/>
        </w:numPr>
        <w:rPr>
          <w:lang w:eastAsia="da-DK"/>
        </w:rPr>
      </w:pPr>
      <w:r w:rsidRPr="00DC4F35">
        <w:rPr>
          <w:lang w:eastAsia="da-DK"/>
        </w:rPr>
        <w:t>tredjelandets myndighed nå at bede om</w:t>
      </w:r>
      <w:r w:rsidR="000215C0" w:rsidRPr="00DC4F35">
        <w:rPr>
          <w:lang w:eastAsia="da-DK"/>
        </w:rPr>
        <w:t xml:space="preserve"> og gennemføre</w:t>
      </w:r>
      <w:r w:rsidRPr="00DC4F35">
        <w:rPr>
          <w:lang w:eastAsia="da-DK"/>
        </w:rPr>
        <w:t xml:space="preserve"> udlevering af personoplysningerne, imens de fortsat befinder sig hos underdatabehandleren.</w:t>
      </w:r>
    </w:p>
    <w:p w14:paraId="3A0FEDCB" w14:textId="77777777" w:rsidR="00A56FB7" w:rsidRPr="00DC4F35" w:rsidRDefault="00A56FB7" w:rsidP="00A56FB7">
      <w:pPr>
        <w:rPr>
          <w:lang w:eastAsia="da-DK"/>
        </w:rPr>
      </w:pPr>
    </w:p>
    <w:p w14:paraId="141C3BE6" w14:textId="066D6F56" w:rsidR="00A56FB7" w:rsidRPr="00DC4F35" w:rsidRDefault="00A56FB7" w:rsidP="00A56FB7">
      <w:pPr>
        <w:rPr>
          <w:lang w:eastAsia="da-DK"/>
        </w:rPr>
      </w:pPr>
      <w:r w:rsidRPr="00DC4F35">
        <w:rPr>
          <w:lang w:eastAsia="da-DK"/>
        </w:rPr>
        <w:t>Det virker meget usandsynligt.</w:t>
      </w:r>
    </w:p>
    <w:p w14:paraId="37E3FA5E" w14:textId="77777777" w:rsidR="00AB6B7E" w:rsidRPr="00DC4F35" w:rsidRDefault="00AB6B7E" w:rsidP="00076659">
      <w:pPr>
        <w:rPr>
          <w:lang w:eastAsia="da-DK"/>
        </w:rPr>
      </w:pPr>
    </w:p>
    <w:p w14:paraId="639378D4" w14:textId="4008C4AF" w:rsidR="00076659" w:rsidRPr="00DC4F35" w:rsidRDefault="00076659" w:rsidP="00076659">
      <w:pPr>
        <w:rPr>
          <w:lang w:eastAsia="da-DK"/>
        </w:rPr>
      </w:pPr>
      <w:r w:rsidRPr="00DC4F35">
        <w:rPr>
          <w:lang w:eastAsia="da-DK"/>
        </w:rPr>
        <w:t>Det bemærkes</w:t>
      </w:r>
      <w:r w:rsidR="00AB6B7E" w:rsidRPr="00DC4F35">
        <w:rPr>
          <w:lang w:eastAsia="da-DK"/>
        </w:rPr>
        <w:t xml:space="preserve"> endvidere</w:t>
      </w:r>
      <w:r w:rsidRPr="00DC4F35">
        <w:rPr>
          <w:lang w:eastAsia="da-DK"/>
        </w:rPr>
        <w:t>, at overførsler</w:t>
      </w:r>
      <w:r w:rsidR="008B4146" w:rsidRPr="00DC4F35">
        <w:rPr>
          <w:lang w:eastAsia="da-DK"/>
        </w:rPr>
        <w:t>ne som gennemgået ovenfor langt overvejende</w:t>
      </w:r>
      <w:r w:rsidRPr="00DC4F35">
        <w:rPr>
          <w:lang w:eastAsia="da-DK"/>
        </w:rPr>
        <w:t xml:space="preserve"> sker ved fjernadgang og således uden en </w:t>
      </w:r>
      <w:r w:rsidR="00F57EF7" w:rsidRPr="00DC4F35">
        <w:rPr>
          <w:lang w:eastAsia="da-DK"/>
        </w:rPr>
        <w:t>fysisk</w:t>
      </w:r>
      <w:r w:rsidRPr="00DC4F35">
        <w:rPr>
          <w:lang w:eastAsia="da-DK"/>
        </w:rPr>
        <w:t xml:space="preserve"> overførsel</w:t>
      </w:r>
      <w:r w:rsidR="00F57EF7" w:rsidRPr="00DC4F35">
        <w:rPr>
          <w:lang w:eastAsia="da-DK"/>
        </w:rPr>
        <w:t xml:space="preserve"> af personoplysninger</w:t>
      </w:r>
      <w:r w:rsidRPr="00DC4F35">
        <w:rPr>
          <w:lang w:eastAsia="da-DK"/>
        </w:rPr>
        <w:t>,</w:t>
      </w:r>
      <w:r w:rsidR="008B4146" w:rsidRPr="00DC4F35">
        <w:rPr>
          <w:lang w:eastAsia="da-DK"/>
        </w:rPr>
        <w:t xml:space="preserve"> at der i almindelighed ikke sker ”bulk transfers”, men alene overføres det nødvendige og tilstrækkelige i lyset af formålet, samt at varigheden af overførslen er kortvarig. Dette mindsker generelt sandsynligheden for, at tredjelandsmyndigheder kan opsnappe personoplysningerne</w:t>
      </w:r>
      <w:r w:rsidR="00DB4C4E" w:rsidRPr="00DC4F35">
        <w:rPr>
          <w:lang w:eastAsia="da-DK"/>
        </w:rPr>
        <w:t>, hvilket er indgået i vurderingerne nedenfor.</w:t>
      </w:r>
    </w:p>
    <w:p w14:paraId="36DAD48D" w14:textId="77777777" w:rsidR="00921F81" w:rsidRPr="00DC4F35" w:rsidRDefault="00921F81" w:rsidP="0036440D">
      <w:pPr>
        <w:rPr>
          <w:lang w:eastAsia="da-DK"/>
        </w:rPr>
      </w:pPr>
    </w:p>
    <w:p w14:paraId="050FA5E6" w14:textId="1A5E7A48" w:rsidR="00226F8B" w:rsidRPr="00DC4F35" w:rsidRDefault="00226F8B" w:rsidP="00C83C91">
      <w:pPr>
        <w:pStyle w:val="Overskrift3"/>
        <w:rPr>
          <w:lang w:eastAsia="da-DK"/>
        </w:rPr>
      </w:pPr>
      <w:bookmarkStart w:id="107" w:name="_Toc170824053"/>
      <w:r w:rsidRPr="00DC4F35">
        <w:rPr>
          <w:lang w:eastAsia="da-DK"/>
        </w:rPr>
        <w:t xml:space="preserve">Vurdering af </w:t>
      </w:r>
      <w:r w:rsidR="00CE550B" w:rsidRPr="00DC4F35">
        <w:rPr>
          <w:lang w:eastAsia="da-DK"/>
        </w:rPr>
        <w:t xml:space="preserve">overførsler af </w:t>
      </w:r>
      <w:r w:rsidRPr="00DC4F35">
        <w:rPr>
          <w:lang w:eastAsia="da-DK"/>
        </w:rPr>
        <w:t>de enkelte datakategorier</w:t>
      </w:r>
      <w:bookmarkEnd w:id="107"/>
    </w:p>
    <w:p w14:paraId="230CCE00" w14:textId="00A72B54" w:rsidR="001E5CC3" w:rsidRPr="00DC4F35" w:rsidRDefault="001E5CC3" w:rsidP="0036440D">
      <w:pPr>
        <w:pStyle w:val="Overskrift4"/>
      </w:pPr>
      <w:r w:rsidRPr="00DC4F35">
        <w:t>Customer Data</w:t>
      </w:r>
    </w:p>
    <w:p w14:paraId="5E42B5BF" w14:textId="5B7B639F" w:rsidR="00101B5F" w:rsidRPr="00DC4F35" w:rsidRDefault="0089367A" w:rsidP="00101B5F">
      <w:r w:rsidRPr="00DC4F35">
        <w:t xml:space="preserve">Customer Data kan </w:t>
      </w:r>
      <w:r w:rsidR="00F93A3E" w:rsidRPr="00DC4F35">
        <w:t>omfatte</w:t>
      </w:r>
      <w:r w:rsidRPr="00DC4F35">
        <w:t xml:space="preserve"> alle typer af personoplysninger, herunder ikke-følsomme, følsomme, fortrolige og oplysninger om strafbare forhold. </w:t>
      </w:r>
      <w:r w:rsidR="00101B5F">
        <w:t xml:space="preserve">Dog skal det bemærkes, at </w:t>
      </w:r>
      <w:r w:rsidR="00101B5F">
        <w:rPr>
          <w:iCs/>
        </w:rPr>
        <w:t>behandlingen – som nærmere beskrevet i afgrænsningen i konsekvensanalysens afsnit 2.4 – ikke omfatter omfattende mængder af fortrolige og følsomme personoplysninger i form af bl.a. genetiske data, biometriske data, straffesager, asylsager m.v.</w:t>
      </w:r>
    </w:p>
    <w:p w14:paraId="397C1562" w14:textId="77777777" w:rsidR="00F77445" w:rsidRPr="00DC4F35" w:rsidRDefault="00F77445" w:rsidP="0053007E"/>
    <w:p w14:paraId="5F987567" w14:textId="6F1E13C9" w:rsidR="00FC61CF" w:rsidRPr="00DC4F35" w:rsidRDefault="00F77445" w:rsidP="0053007E">
      <w:r w:rsidRPr="00DC4F35">
        <w:rPr>
          <w:rFonts w:cstheme="minorHAnsi"/>
          <w:iCs/>
        </w:rPr>
        <w:lastRenderedPageBreak/>
        <w:t xml:space="preserve">Oplysningerne </w:t>
      </w:r>
      <w:r w:rsidR="00FC61CF" w:rsidRPr="00DC4F35">
        <w:t>overføres potentielt i forbindelse med</w:t>
      </w:r>
      <w:r w:rsidRPr="00DC4F35">
        <w:rPr>
          <w:rFonts w:cstheme="minorHAnsi"/>
          <w:iCs/>
        </w:rPr>
        <w:t xml:space="preserve"> følgende tilfælde:</w:t>
      </w:r>
      <w:r w:rsidR="00FC61CF" w:rsidRPr="00DC4F35">
        <w:t xml:space="preserve"> </w:t>
      </w:r>
    </w:p>
    <w:p w14:paraId="2ADABE85" w14:textId="77777777" w:rsidR="00FC61CF" w:rsidRPr="00DC4F35" w:rsidRDefault="00FC61CF" w:rsidP="0053007E"/>
    <w:p w14:paraId="751CC2B5" w14:textId="095F87DC" w:rsidR="00FC61CF" w:rsidRPr="00DC4F35" w:rsidRDefault="00FC61CF" w:rsidP="00F77445">
      <w:pPr>
        <w:pStyle w:val="Listeafsnit"/>
        <w:numPr>
          <w:ilvl w:val="0"/>
          <w:numId w:val="54"/>
        </w:numPr>
        <w:rPr>
          <w:rFonts w:cs="Calibri"/>
          <w:i/>
          <w:iCs/>
        </w:rPr>
      </w:pPr>
      <w:r w:rsidRPr="00DC4F35">
        <w:rPr>
          <w:rFonts w:cs="Calibri"/>
          <w:i/>
          <w:iCs/>
        </w:rPr>
        <w:t>”</w:t>
      </w:r>
      <w:proofErr w:type="spellStart"/>
      <w:r w:rsidRPr="00DC4F35">
        <w:rPr>
          <w:rFonts w:cs="Calibri"/>
          <w:i/>
          <w:iCs/>
        </w:rPr>
        <w:t>Protecting</w:t>
      </w:r>
      <w:proofErr w:type="spellEnd"/>
      <w:r w:rsidRPr="00DC4F35">
        <w:rPr>
          <w:rFonts w:cs="Calibri"/>
          <w:i/>
          <w:iCs/>
        </w:rPr>
        <w:t xml:space="preserve"> </w:t>
      </w:r>
      <w:proofErr w:type="spellStart"/>
      <w:r w:rsidRPr="00DC4F35">
        <w:rPr>
          <w:rFonts w:cs="Calibri"/>
          <w:i/>
          <w:iCs/>
        </w:rPr>
        <w:t>customers</w:t>
      </w:r>
      <w:proofErr w:type="spellEnd"/>
      <w:r w:rsidRPr="00DC4F35">
        <w:rPr>
          <w:rFonts w:cs="Calibri"/>
          <w:i/>
          <w:iCs/>
        </w:rPr>
        <w:t xml:space="preserve">” </w:t>
      </w:r>
    </w:p>
    <w:p w14:paraId="2EF5C87A" w14:textId="558EE5E8" w:rsidR="00FC61CF" w:rsidRPr="001C19E7" w:rsidRDefault="00FC61CF" w:rsidP="00F77445">
      <w:pPr>
        <w:pStyle w:val="Listeafsnit"/>
        <w:numPr>
          <w:ilvl w:val="0"/>
          <w:numId w:val="54"/>
        </w:numPr>
        <w:rPr>
          <w:rFonts w:cs="Calibri"/>
          <w:i/>
          <w:iCs/>
          <w:lang w:val="en-US"/>
        </w:rPr>
      </w:pPr>
      <w:r w:rsidRPr="001C19E7">
        <w:rPr>
          <w:rFonts w:cs="Calibri"/>
          <w:i/>
          <w:iCs/>
          <w:lang w:val="en-US"/>
        </w:rPr>
        <w:t>“Fulfilling GDPR data subject rights requests worldwide”</w:t>
      </w:r>
    </w:p>
    <w:p w14:paraId="386EB4B0" w14:textId="77777777" w:rsidR="00FC61CF" w:rsidRPr="001C19E7" w:rsidRDefault="00FC61CF" w:rsidP="0053007E">
      <w:pPr>
        <w:rPr>
          <w:lang w:val="en-US"/>
        </w:rPr>
      </w:pPr>
    </w:p>
    <w:p w14:paraId="7421EEA3" w14:textId="3F851577" w:rsidR="00C25252" w:rsidRPr="00DC4F35" w:rsidRDefault="00C25252" w:rsidP="00C25252">
      <w:pPr>
        <w:rPr>
          <w:rFonts w:cs="Calibri"/>
          <w:i/>
          <w:iCs/>
        </w:rPr>
      </w:pPr>
      <w:r w:rsidRPr="00DC4F35">
        <w:t>F</w:t>
      </w:r>
      <w:r w:rsidR="00E77875" w:rsidRPr="00DC4F35">
        <w:t>or så vidt angår</w:t>
      </w:r>
      <w:r w:rsidRPr="00DC4F35">
        <w:t xml:space="preserve"> </w:t>
      </w:r>
      <w:r w:rsidRPr="00DC4F35">
        <w:rPr>
          <w:rFonts w:cs="Calibri"/>
          <w:i/>
          <w:iCs/>
        </w:rPr>
        <w:t>“Adgangsstyring/log in i tjenester (Entra ID)”, ”Professional Services Data” og ”Opretholdelse af services”</w:t>
      </w:r>
      <w:r w:rsidRPr="00DC4F35">
        <w:rPr>
          <w:rFonts w:cs="Calibri"/>
        </w:rPr>
        <w:t xml:space="preserve"> er disse medtaget særskilt nedenfor.</w:t>
      </w:r>
    </w:p>
    <w:p w14:paraId="78EBD07F" w14:textId="77777777" w:rsidR="00C25252" w:rsidRPr="00DC4F35" w:rsidRDefault="00C25252" w:rsidP="0053007E"/>
    <w:p w14:paraId="3ABCBEDD" w14:textId="3C8A3AEC" w:rsidR="00567494" w:rsidRPr="00DC4F35" w:rsidRDefault="00567494" w:rsidP="0053007E">
      <w:r w:rsidRPr="00DC4F35">
        <w:t xml:space="preserve">For så vidt angår </w:t>
      </w:r>
      <w:r w:rsidR="008C5489" w:rsidRPr="00DC4F35">
        <w:t>konsekvenserne for de registrerede</w:t>
      </w:r>
      <w:r w:rsidR="000D7916" w:rsidRPr="00DC4F35">
        <w:t xml:space="preserve">, hvis </w:t>
      </w:r>
      <w:r w:rsidR="00976F21">
        <w:t xml:space="preserve">følsomme og fortrolige </w:t>
      </w:r>
      <w:r w:rsidR="000D7916" w:rsidRPr="00DC4F35">
        <w:t>personoplysningerne i Customer Data kommer i tredjelandes myndigheders besiddelse</w:t>
      </w:r>
      <w:r w:rsidR="00890212" w:rsidRPr="00DC4F35">
        <w:t xml:space="preserve"> i strid med EU-retten</w:t>
      </w:r>
      <w:r w:rsidR="000D7916" w:rsidRPr="00DC4F35">
        <w:t>, vurderes det, at</w:t>
      </w:r>
      <w:r w:rsidR="00976F21">
        <w:t xml:space="preserve"> konsekvenserne forbundet hermed kan være meget alvorlige for de registrerede, idet personoplysningerne i værste fald er tabt, og som det pågældende tredjeland vil kunne anvende til egne formål, hvilket kan føre til frygt og stress for de registrerede (</w:t>
      </w:r>
      <w:r w:rsidR="00101B5F">
        <w:t>meget alvorlige</w:t>
      </w:r>
      <w:r w:rsidR="00976F21">
        <w:t>)</w:t>
      </w:r>
      <w:r w:rsidR="006D13D9" w:rsidRPr="00DC4F35">
        <w:t xml:space="preserve"> </w:t>
      </w:r>
      <w:r w:rsidR="00DA64D2" w:rsidRPr="00DC4F35">
        <w:t>(</w:t>
      </w:r>
      <w:r w:rsidR="00976F21">
        <w:t>3</w:t>
      </w:r>
      <w:r w:rsidR="00DA64D2" w:rsidRPr="00DC4F35">
        <w:t>)</w:t>
      </w:r>
      <w:r w:rsidR="000D7916" w:rsidRPr="00DC4F35">
        <w:t>.</w:t>
      </w:r>
    </w:p>
    <w:p w14:paraId="057F09A3" w14:textId="77777777" w:rsidR="00567494" w:rsidRPr="00DC4F35" w:rsidRDefault="00567494" w:rsidP="0053007E"/>
    <w:p w14:paraId="645814A3" w14:textId="0F501950" w:rsidR="004111F4" w:rsidRPr="00DC4F35" w:rsidRDefault="00C84F93" w:rsidP="0053007E">
      <w:r w:rsidRPr="00DC4F35">
        <w:t xml:space="preserve">Det vurderes imidlertid, at sandsynligheden for, at oplysningerne kommer i tredjelandes myndigheders besiddelse i strid med EU-retten, må anses for at være </w:t>
      </w:r>
      <w:r w:rsidR="00971912" w:rsidRPr="00DC4F35">
        <w:t>meget usandsynligt</w:t>
      </w:r>
      <w:r w:rsidR="00D07139" w:rsidRPr="00DC4F35">
        <w:t xml:space="preserve"> (1)</w:t>
      </w:r>
      <w:r w:rsidR="00971912" w:rsidRPr="00DC4F35">
        <w:t>.</w:t>
      </w:r>
      <w:r w:rsidR="00885AAF" w:rsidRPr="00DC4F35">
        <w:t xml:space="preserve"> </w:t>
      </w:r>
      <w:r w:rsidR="003D3182" w:rsidRPr="00DC4F35">
        <w:t xml:space="preserve">Ved denne vurdering er der </w:t>
      </w:r>
      <w:r w:rsidR="001C478B" w:rsidRPr="00DC4F35">
        <w:t xml:space="preserve">særligt </w:t>
      </w:r>
      <w:r w:rsidR="003D3182" w:rsidRPr="00DC4F35">
        <w:t xml:space="preserve">lagt vægt på følgende forhold: </w:t>
      </w:r>
    </w:p>
    <w:p w14:paraId="607742A8" w14:textId="77777777" w:rsidR="003D3182" w:rsidRPr="00DC4F35" w:rsidRDefault="003D3182" w:rsidP="0053007E"/>
    <w:p w14:paraId="551B3D91" w14:textId="79165F6D" w:rsidR="00FA373C" w:rsidRPr="00DC4F35" w:rsidRDefault="00FA373C" w:rsidP="00FA373C">
      <w:pPr>
        <w:pStyle w:val="Listeafsnit"/>
        <w:numPr>
          <w:ilvl w:val="0"/>
          <w:numId w:val="63"/>
        </w:numPr>
      </w:pPr>
      <w:r w:rsidRPr="00DC4F35">
        <w:rPr>
          <w:lang w:eastAsia="da-DK"/>
        </w:rPr>
        <w:t>Microsoft har oplyst, at Microsoft aldrig har udleveret personoplysninger – uanset om der er tale om personoplysninger i Customer data eller øvrige former for datakategorier – tilhørende en EU offentlig myndighed (</w:t>
      </w:r>
      <w:proofErr w:type="gramStart"/>
      <w:r w:rsidRPr="00DC4F35">
        <w:rPr>
          <w:lang w:eastAsia="da-DK"/>
        </w:rPr>
        <w:t>EU public</w:t>
      </w:r>
      <w:proofErr w:type="gramEnd"/>
      <w:r w:rsidRPr="00DC4F35">
        <w:rPr>
          <w:lang w:eastAsia="da-DK"/>
        </w:rPr>
        <w:t xml:space="preserve"> </w:t>
      </w:r>
      <w:proofErr w:type="spellStart"/>
      <w:r w:rsidRPr="00DC4F35">
        <w:rPr>
          <w:lang w:eastAsia="da-DK"/>
        </w:rPr>
        <w:t>sector</w:t>
      </w:r>
      <w:proofErr w:type="spellEnd"/>
      <w:r w:rsidRPr="00DC4F35">
        <w:rPr>
          <w:lang w:eastAsia="da-DK"/>
        </w:rPr>
        <w:t xml:space="preserve"> </w:t>
      </w:r>
      <w:proofErr w:type="spellStart"/>
      <w:r w:rsidRPr="00DC4F35">
        <w:rPr>
          <w:lang w:eastAsia="da-DK"/>
        </w:rPr>
        <w:t>customer</w:t>
      </w:r>
      <w:proofErr w:type="spellEnd"/>
      <w:r w:rsidRPr="00DC4F35">
        <w:rPr>
          <w:lang w:eastAsia="da-DK"/>
        </w:rPr>
        <w:t xml:space="preserve">) til retshåndhævende myndigheder i tredjelande. </w:t>
      </w:r>
    </w:p>
    <w:p w14:paraId="3BAEB52E" w14:textId="0AE17EFC" w:rsidR="00ED3660" w:rsidRPr="00DC4F35" w:rsidRDefault="00FA373C" w:rsidP="0053007E">
      <w:pPr>
        <w:pStyle w:val="Listeafsnit"/>
        <w:numPr>
          <w:ilvl w:val="0"/>
          <w:numId w:val="63"/>
        </w:numPr>
      </w:pPr>
      <w:r w:rsidRPr="00DC4F35">
        <w:rPr>
          <w:lang w:eastAsia="da-DK"/>
        </w:rPr>
        <w:t xml:space="preserve">Microsoft har endvidere oplyst, </w:t>
      </w:r>
      <w:r w:rsidR="00225B6A">
        <w:rPr>
          <w:lang w:eastAsia="da-DK"/>
        </w:rPr>
        <w:t>at</w:t>
      </w:r>
      <w:r w:rsidRPr="00DC4F35">
        <w:t xml:space="preserve"> hvis det i fremtiden skulle blive nødvendigt</w:t>
      </w:r>
      <w:r w:rsidR="00225B6A">
        <w:t xml:space="preserve"> at overføre Customer Data med henblik på ”</w:t>
      </w:r>
      <w:proofErr w:type="spellStart"/>
      <w:r w:rsidR="00225B6A">
        <w:t>protecting</w:t>
      </w:r>
      <w:proofErr w:type="spellEnd"/>
      <w:r w:rsidR="00225B6A">
        <w:t xml:space="preserve"> </w:t>
      </w:r>
      <w:proofErr w:type="spellStart"/>
      <w:r w:rsidR="00225B6A">
        <w:t>customers</w:t>
      </w:r>
      <w:proofErr w:type="spellEnd"/>
      <w:r w:rsidR="00225B6A">
        <w:t>”</w:t>
      </w:r>
      <w:r w:rsidRPr="00DC4F35">
        <w:t>, vil det være ”sidste udvej”, såfremt en sikkerhedshændelse ikke kan løses på anden vis</w:t>
      </w:r>
      <w:r w:rsidR="00225B6A">
        <w:t>, og hvor det i så fald vil ske i form af fjernadgang.</w:t>
      </w:r>
    </w:p>
    <w:p w14:paraId="723D2F24" w14:textId="13A3056D" w:rsidR="00734FD1" w:rsidRPr="00DC4F35" w:rsidRDefault="00ED3660" w:rsidP="0053007E">
      <w:pPr>
        <w:pStyle w:val="Listeafsnit"/>
        <w:numPr>
          <w:ilvl w:val="0"/>
          <w:numId w:val="63"/>
        </w:numPr>
      </w:pPr>
      <w:r w:rsidRPr="00DC4F35">
        <w:t>Der er endvidere lagt vægt på de fastsatte tekniske, organisatoriske og kontraktuelle foranstaltninger med henblik på at sikre et fornødent beskyttelsesniveau, jf. afsnit 6.1-6.3 ovenfor</w:t>
      </w:r>
      <w:r w:rsidR="000F0213" w:rsidRPr="00DC4F35">
        <w:t>.</w:t>
      </w:r>
    </w:p>
    <w:p w14:paraId="60E61DFA" w14:textId="77777777" w:rsidR="000F0213" w:rsidRPr="00DC4F35" w:rsidRDefault="000F0213" w:rsidP="00192E01"/>
    <w:p w14:paraId="5319D97C" w14:textId="5D630A43" w:rsidR="0053007E" w:rsidRPr="00DC4F35" w:rsidRDefault="00106F98" w:rsidP="0053007E">
      <w:r w:rsidRPr="00DC4F35">
        <w:t>Risikoen for de registrerede</w:t>
      </w:r>
      <w:r w:rsidR="0053007E" w:rsidRPr="00DC4F35">
        <w:t xml:space="preserve"> </w:t>
      </w:r>
      <w:r w:rsidR="006E0649" w:rsidRPr="00DC4F35">
        <w:t>skal</w:t>
      </w:r>
      <w:r w:rsidR="0053007E" w:rsidRPr="00DC4F35">
        <w:t xml:space="preserve"> </w:t>
      </w:r>
      <w:r w:rsidR="00A2682B" w:rsidRPr="00DC4F35">
        <w:t>desuden</w:t>
      </w:r>
      <w:r w:rsidR="0053007E" w:rsidRPr="00DC4F35">
        <w:t xml:space="preserve"> </w:t>
      </w:r>
      <w:r w:rsidR="0089367A" w:rsidRPr="00DC4F35">
        <w:t>sammenholdes med risikoen ved</w:t>
      </w:r>
      <w:r w:rsidR="00B65ED9" w:rsidRPr="00DC4F35">
        <w:t>,</w:t>
      </w:r>
      <w:r w:rsidR="0089367A" w:rsidRPr="00DC4F35">
        <w:t xml:space="preserve"> at en hacker – som potentielt også kan arbejde på vegne af et tredjelands myndighed – er ved at tilegne sig personoplysningerne</w:t>
      </w:r>
      <w:r w:rsidR="0053007E" w:rsidRPr="00DC4F35">
        <w:t xml:space="preserve"> som følge af sikkerhedshændelsen</w:t>
      </w:r>
      <w:r w:rsidR="00BE735D" w:rsidRPr="00DC4F35">
        <w:t>, som overførslen skal modgå</w:t>
      </w:r>
      <w:r w:rsidR="0089367A" w:rsidRPr="00DC4F35">
        <w:t>.</w:t>
      </w:r>
      <w:r w:rsidR="0053007E" w:rsidRPr="00DC4F35">
        <w:t xml:space="preserve"> I dette tilfælde vurderes det, at den bedste måde at beskytte de registreredes rettigheder og personoplysninger på</w:t>
      </w:r>
      <w:r w:rsidR="00AF2B4B" w:rsidRPr="00DC4F35">
        <w:t xml:space="preserve"> – i overensstemmelse </w:t>
      </w:r>
      <w:r w:rsidR="002113B3">
        <w:t xml:space="preserve">med </w:t>
      </w:r>
      <w:r w:rsidR="00AF2B4B" w:rsidRPr="00DC4F35">
        <w:t xml:space="preserve">De Dataansvarliges pligt hertil i medfør af den generelle bestemmelse om behandlingssikkerhed i databeskyttelsesforordningens artikel 32 – </w:t>
      </w:r>
      <w:r w:rsidR="0053007E" w:rsidRPr="00DC4F35">
        <w:t>er ved at lade</w:t>
      </w:r>
      <w:r w:rsidR="006E0649" w:rsidRPr="00DC4F35">
        <w:t xml:space="preserve"> den mest relevante</w:t>
      </w:r>
      <w:r w:rsidR="0053007E" w:rsidRPr="00DC4F35">
        <w:t xml:space="preserve"> ingeniør/supporte</w:t>
      </w:r>
      <w:r w:rsidR="006E0649" w:rsidRPr="00DC4F35">
        <w:t>r, herunder en i et tredjeland</w:t>
      </w:r>
      <w:r w:rsidR="0053007E" w:rsidRPr="00DC4F35">
        <w:t xml:space="preserve"> </w:t>
      </w:r>
      <w:r w:rsidR="00225B6A">
        <w:t>tilgå</w:t>
      </w:r>
      <w:r w:rsidR="00225B6A" w:rsidRPr="00DC4F35">
        <w:t xml:space="preserve"> </w:t>
      </w:r>
      <w:r w:rsidR="0053007E" w:rsidRPr="00DC4F35">
        <w:t xml:space="preserve">de relevante ”Customer Data” </w:t>
      </w:r>
      <w:r w:rsidR="00225B6A">
        <w:t xml:space="preserve">via fjernadgang </w:t>
      </w:r>
      <w:r w:rsidR="0053007E" w:rsidRPr="00DC4F35">
        <w:t>og afværge sikkerhedshændelsen, herunder det mulige hackerangreb.</w:t>
      </w:r>
      <w:r w:rsidR="00B65ED9" w:rsidRPr="00DC4F35">
        <w:t xml:space="preserve"> Der må med andre ord i vurderingen </w:t>
      </w:r>
      <w:r w:rsidR="009B0722" w:rsidRPr="00DC4F35">
        <w:t xml:space="preserve">også </w:t>
      </w:r>
      <w:r w:rsidR="00B65ED9" w:rsidRPr="00DC4F35">
        <w:t>lægges vægt på, at De Dataansvarlige også er forpligtet til generelt at sikre et højt beskyttelsesniveau af personoplysningerne</w:t>
      </w:r>
      <w:r w:rsidR="00AF2B4B" w:rsidRPr="00DC4F35">
        <w:t>.</w:t>
      </w:r>
      <w:r w:rsidR="00B65ED9" w:rsidRPr="00DC4F35">
        <w:t xml:space="preserve"> </w:t>
      </w:r>
    </w:p>
    <w:p w14:paraId="74C45537" w14:textId="77777777" w:rsidR="00381BF5" w:rsidRPr="00DC4F35" w:rsidRDefault="00381BF5" w:rsidP="0053007E"/>
    <w:p w14:paraId="24012A2B" w14:textId="0C9038E9" w:rsidR="00381BF5" w:rsidRPr="00DC4F35" w:rsidRDefault="00FF4E15" w:rsidP="0053007E">
      <w:r w:rsidRPr="00DC4F35">
        <w:lastRenderedPageBreak/>
        <w:t>For så vidt angår</w:t>
      </w:r>
      <w:r w:rsidR="00381BF5" w:rsidRPr="00DC4F35">
        <w:t xml:space="preserve"> kontaktoplysninger som f.eks. navn eller e-mailadresse (arbejde), der overføres med henblik på ”</w:t>
      </w:r>
      <w:proofErr w:type="spellStart"/>
      <w:r w:rsidR="00381BF5" w:rsidRPr="00DC4F35">
        <w:rPr>
          <w:rFonts w:cs="Calibri"/>
          <w:i/>
          <w:iCs/>
        </w:rPr>
        <w:t>Fulfilling</w:t>
      </w:r>
      <w:proofErr w:type="spellEnd"/>
      <w:r w:rsidR="00381BF5" w:rsidRPr="00DC4F35">
        <w:rPr>
          <w:rFonts w:cs="Calibri"/>
          <w:i/>
          <w:iCs/>
        </w:rPr>
        <w:t xml:space="preserve"> </w:t>
      </w:r>
      <w:proofErr w:type="gramStart"/>
      <w:r w:rsidR="00381BF5" w:rsidRPr="00DC4F35">
        <w:rPr>
          <w:rFonts w:cs="Calibri"/>
          <w:i/>
          <w:iCs/>
        </w:rPr>
        <w:t>GDPR data</w:t>
      </w:r>
      <w:proofErr w:type="gramEnd"/>
      <w:r w:rsidR="00381BF5" w:rsidRPr="00DC4F35">
        <w:rPr>
          <w:rFonts w:cs="Calibri"/>
          <w:i/>
          <w:iCs/>
        </w:rPr>
        <w:t xml:space="preserve"> </w:t>
      </w:r>
      <w:proofErr w:type="spellStart"/>
      <w:r w:rsidR="00381BF5" w:rsidRPr="00DC4F35">
        <w:rPr>
          <w:rFonts w:cs="Calibri"/>
          <w:i/>
          <w:iCs/>
        </w:rPr>
        <w:t>subject</w:t>
      </w:r>
      <w:proofErr w:type="spellEnd"/>
      <w:r w:rsidR="00381BF5" w:rsidRPr="00DC4F35">
        <w:rPr>
          <w:rFonts w:cs="Calibri"/>
          <w:i/>
          <w:iCs/>
        </w:rPr>
        <w:t xml:space="preserve"> </w:t>
      </w:r>
      <w:proofErr w:type="spellStart"/>
      <w:r w:rsidR="00381BF5" w:rsidRPr="00DC4F35">
        <w:rPr>
          <w:rFonts w:cs="Calibri"/>
          <w:i/>
          <w:iCs/>
        </w:rPr>
        <w:t>rights</w:t>
      </w:r>
      <w:proofErr w:type="spellEnd"/>
      <w:r w:rsidR="00381BF5" w:rsidRPr="00DC4F35">
        <w:rPr>
          <w:rFonts w:cs="Calibri"/>
          <w:i/>
          <w:iCs/>
        </w:rPr>
        <w:t xml:space="preserve"> </w:t>
      </w:r>
      <w:proofErr w:type="spellStart"/>
      <w:r w:rsidR="00381BF5" w:rsidRPr="00DC4F35">
        <w:rPr>
          <w:rFonts w:cs="Calibri"/>
          <w:i/>
          <w:iCs/>
        </w:rPr>
        <w:t>requests</w:t>
      </w:r>
      <w:proofErr w:type="spellEnd"/>
      <w:r w:rsidR="00381BF5" w:rsidRPr="00DC4F35">
        <w:rPr>
          <w:rFonts w:cs="Calibri"/>
          <w:i/>
          <w:iCs/>
        </w:rPr>
        <w:t xml:space="preserve"> </w:t>
      </w:r>
      <w:proofErr w:type="spellStart"/>
      <w:r w:rsidR="00381BF5" w:rsidRPr="00DC4F35">
        <w:rPr>
          <w:rFonts w:cs="Calibri"/>
          <w:i/>
          <w:iCs/>
        </w:rPr>
        <w:t>worldwide</w:t>
      </w:r>
      <w:proofErr w:type="spellEnd"/>
      <w:r w:rsidR="00381BF5" w:rsidRPr="00DC4F35">
        <w:rPr>
          <w:rFonts w:cs="Calibri"/>
          <w:i/>
          <w:iCs/>
        </w:rPr>
        <w:t>”</w:t>
      </w:r>
      <w:r w:rsidR="00381BF5" w:rsidRPr="00DC4F35">
        <w:rPr>
          <w:rFonts w:cs="Calibri"/>
        </w:rPr>
        <w:t xml:space="preserve">, vurderes konsekvenserne for den registrerede at være </w:t>
      </w:r>
      <w:r w:rsidR="00446FEC">
        <w:rPr>
          <w:rFonts w:cs="Calibri"/>
        </w:rPr>
        <w:t>mindre alvorlige</w:t>
      </w:r>
      <w:r w:rsidR="00381BF5" w:rsidRPr="00DC4F35">
        <w:rPr>
          <w:rFonts w:cs="Calibri"/>
        </w:rPr>
        <w:t>, ligesom sandsynligheden for at de overførte kontaktoplysninger, som overføres med henblik på at undersøge</w:t>
      </w:r>
      <w:r w:rsidR="00461FD4" w:rsidRPr="00DC4F35">
        <w:rPr>
          <w:rFonts w:cs="Calibri"/>
        </w:rPr>
        <w:t>,</w:t>
      </w:r>
      <w:r w:rsidR="00381BF5" w:rsidRPr="00DC4F35">
        <w:rPr>
          <w:rFonts w:cs="Calibri"/>
        </w:rPr>
        <w:t xml:space="preserve"> hvorvidt der er personoplysninger knyttet til dette navn eller e-mailadresse</w:t>
      </w:r>
      <w:r w:rsidR="00461FD4" w:rsidRPr="00DC4F35">
        <w:rPr>
          <w:rFonts w:cs="Calibri"/>
        </w:rPr>
        <w:t>,</w:t>
      </w:r>
      <w:r w:rsidR="00381BF5" w:rsidRPr="00DC4F35">
        <w:rPr>
          <w:rFonts w:cs="Calibri"/>
        </w:rPr>
        <w:t xml:space="preserve"> som f.eks. skal slettes, bliver misbrugt</w:t>
      </w:r>
      <w:r w:rsidR="00461FD4" w:rsidRPr="00DC4F35">
        <w:rPr>
          <w:rFonts w:cs="Calibri"/>
        </w:rPr>
        <w:t>,</w:t>
      </w:r>
      <w:r w:rsidR="00381BF5" w:rsidRPr="00DC4F35">
        <w:rPr>
          <w:rFonts w:cs="Calibri"/>
        </w:rPr>
        <w:t xml:space="preserve"> vurderes usandsynligt. Det giver en lav risiko for den registrerede. Behandlingen sker i øvrigt på den registreredes opfordring.</w:t>
      </w:r>
    </w:p>
    <w:p w14:paraId="2F2799A1" w14:textId="77777777" w:rsidR="00E7090A" w:rsidRPr="00DC4F35" w:rsidRDefault="00E7090A" w:rsidP="0053007E"/>
    <w:p w14:paraId="0EE83272" w14:textId="1E035663" w:rsidR="00E7090A" w:rsidRPr="00DC4F35" w:rsidRDefault="0057772C" w:rsidP="00E7090A">
      <w:r w:rsidRPr="00DC4F35">
        <w:t xml:space="preserve">På denne baggrund </w:t>
      </w:r>
      <w:r w:rsidR="00E7090A" w:rsidRPr="00DC4F35">
        <w:t xml:space="preserve">vurderes </w:t>
      </w:r>
      <w:r w:rsidRPr="00DC4F35">
        <w:t xml:space="preserve">der </w:t>
      </w:r>
      <w:r w:rsidR="00E7090A" w:rsidRPr="00DC4F35">
        <w:t xml:space="preserve">således samlet set at være en </w:t>
      </w:r>
      <w:r w:rsidR="003066DB" w:rsidRPr="003066DB">
        <w:rPr>
          <w:b/>
          <w:bCs/>
        </w:rPr>
        <w:t xml:space="preserve">mellem </w:t>
      </w:r>
      <w:r w:rsidR="00E7090A" w:rsidRPr="003066DB">
        <w:rPr>
          <w:b/>
          <w:bCs/>
        </w:rPr>
        <w:t>risiko</w:t>
      </w:r>
      <w:r w:rsidR="00E7090A" w:rsidRPr="00DC4F35">
        <w:t xml:space="preserve"> for de registreredes rettigheder, som også illustreres i figuren nedenfor. </w:t>
      </w:r>
    </w:p>
    <w:p w14:paraId="7CE3FDD3" w14:textId="77777777" w:rsidR="00E7090A" w:rsidRPr="00DC4F35" w:rsidRDefault="00E7090A" w:rsidP="00E7090A"/>
    <w:p w14:paraId="518D939E" w14:textId="56D696FD" w:rsidR="00E7090A" w:rsidRPr="00DC4F35" w:rsidRDefault="00E7090A" w:rsidP="00E7090A">
      <w:pPr>
        <w:rPr>
          <w:i/>
          <w:iCs/>
          <w:lang w:eastAsia="da-DK"/>
        </w:rPr>
      </w:pPr>
      <w:r w:rsidRPr="00DC4F35">
        <w:rPr>
          <w:i/>
          <w:iCs/>
          <w:lang w:eastAsia="da-DK"/>
        </w:rPr>
        <w:t xml:space="preserve">Figur </w:t>
      </w:r>
      <w:r w:rsidR="00426F10" w:rsidRPr="00DC4F35">
        <w:rPr>
          <w:i/>
          <w:iCs/>
          <w:lang w:eastAsia="da-DK"/>
        </w:rPr>
        <w:t>4</w:t>
      </w:r>
      <w:r w:rsidRPr="00DC4F35">
        <w:rPr>
          <w:i/>
          <w:iCs/>
          <w:lang w:eastAsia="da-DK"/>
        </w:rPr>
        <w:t>. Risikokort efter mitigerende foranstaltninger – Customer Data</w:t>
      </w:r>
    </w:p>
    <w:p w14:paraId="3F64F9ED" w14:textId="5515CF6B" w:rsidR="00E7090A" w:rsidRPr="00DC4F35" w:rsidRDefault="003066DB" w:rsidP="00E7090A">
      <w:pPr>
        <w:rPr>
          <w:highlight w:val="yellow"/>
          <w:lang w:eastAsia="da-DK"/>
        </w:rPr>
      </w:pPr>
      <w:r>
        <w:rPr>
          <w:noProof/>
          <w:lang w:eastAsia="da-DK"/>
        </w:rPr>
        <w:drawing>
          <wp:inline distT="0" distB="0" distL="0" distR="0" wp14:anchorId="40C320E0" wp14:editId="2B28BF53">
            <wp:extent cx="4586630" cy="2259527"/>
            <wp:effectExtent l="0" t="0" r="4445" b="7620"/>
            <wp:docPr id="1418290417"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0417" name="Billede 1" descr="Et billede, der indeholder tekst, skærmbillede, Font/skrifttype, nummer/tal&#10;&#10;Automatisk genereret beskrivelse"/>
                    <pic:cNvPicPr/>
                  </pic:nvPicPr>
                  <pic:blipFill>
                    <a:blip r:embed="rId14"/>
                    <a:stretch>
                      <a:fillRect/>
                    </a:stretch>
                  </pic:blipFill>
                  <pic:spPr>
                    <a:xfrm>
                      <a:off x="0" y="0"/>
                      <a:ext cx="4610368" cy="2271221"/>
                    </a:xfrm>
                    <a:prstGeom prst="rect">
                      <a:avLst/>
                    </a:prstGeom>
                  </pic:spPr>
                </pic:pic>
              </a:graphicData>
            </a:graphic>
          </wp:inline>
        </w:drawing>
      </w:r>
    </w:p>
    <w:p w14:paraId="448976D3" w14:textId="77777777" w:rsidR="00E7090A" w:rsidRPr="00DC4F35" w:rsidRDefault="00E7090A" w:rsidP="0053007E"/>
    <w:p w14:paraId="5BFD7F75" w14:textId="0D4C8A25" w:rsidR="00BE72D3" w:rsidRPr="00DC4F35" w:rsidRDefault="00BE72D3" w:rsidP="0036440D">
      <w:pPr>
        <w:pStyle w:val="Overskrift4"/>
      </w:pPr>
      <w:r w:rsidRPr="00DC4F35">
        <w:t>Professional Services Data</w:t>
      </w:r>
    </w:p>
    <w:p w14:paraId="736B2C8D" w14:textId="36F7B4CB" w:rsidR="00206FF6" w:rsidRPr="00DC4F35" w:rsidRDefault="00206FF6" w:rsidP="00206FF6">
      <w:r w:rsidRPr="00DC4F35">
        <w:t xml:space="preserve">Ifølge Microsoft Irelands databehandler omfatter Professional Services følgende: </w:t>
      </w:r>
    </w:p>
    <w:p w14:paraId="56D68634" w14:textId="77777777" w:rsidR="00206FF6" w:rsidRPr="00DC4F35" w:rsidRDefault="00206FF6" w:rsidP="00206FF6">
      <w:r w:rsidRPr="00DC4F35">
        <w:tab/>
      </w:r>
    </w:p>
    <w:p w14:paraId="7EE754AD" w14:textId="77777777" w:rsidR="00206FF6" w:rsidRPr="00DC4F35" w:rsidRDefault="00206FF6" w:rsidP="00206FF6">
      <w:pPr>
        <w:ind w:left="1304"/>
        <w:rPr>
          <w:i/>
          <w:iCs/>
        </w:rPr>
      </w:pPr>
      <w:r w:rsidRPr="001C19E7">
        <w:rPr>
          <w:i/>
          <w:iCs/>
          <w:lang w:val="en-US"/>
        </w:rPr>
        <w:t xml:space="preserve">““Professional Services” means the following services: […] and (b) technical support services provided by Microsoft that help customers identify and resolve issues affecting Products, including technical support provided as part of Microsoft Unified Support or Premier Support Services, and any other commercial technical support services. </w:t>
      </w:r>
      <w:r w:rsidRPr="00DC4F35">
        <w:rPr>
          <w:i/>
          <w:iCs/>
        </w:rPr>
        <w:t>[…].”</w:t>
      </w:r>
      <w:r w:rsidRPr="00DC4F35">
        <w:rPr>
          <w:rStyle w:val="Fodnotehenvisning"/>
          <w:i/>
          <w:iCs/>
        </w:rPr>
        <w:footnoteReference w:id="42"/>
      </w:r>
    </w:p>
    <w:p w14:paraId="6189E30C" w14:textId="77777777" w:rsidR="00AB70E3" w:rsidRPr="00DC4F35" w:rsidRDefault="00AB70E3" w:rsidP="00BE72D3"/>
    <w:p w14:paraId="66676A45" w14:textId="109FE7BC" w:rsidR="00A81C3C" w:rsidRPr="00DC4F35" w:rsidRDefault="007526BC" w:rsidP="00BE72D3">
      <w:r w:rsidRPr="00DC4F35">
        <w:t>Professional Services Data kan</w:t>
      </w:r>
      <w:r w:rsidR="00A81C3C" w:rsidRPr="00DC4F35">
        <w:t xml:space="preserve"> potentielt omfatte alle typer af personoplysninger, herunder ikke-følsomme, følsomme, fortrolige og oplysninger om strafbare forhold.</w:t>
      </w:r>
    </w:p>
    <w:p w14:paraId="6DB62AD0" w14:textId="77777777" w:rsidR="00970E2A" w:rsidRPr="00DC4F35" w:rsidRDefault="00970E2A" w:rsidP="00BE72D3"/>
    <w:p w14:paraId="7ACFA181" w14:textId="4184970E" w:rsidR="00970E2A" w:rsidRPr="00DC4F35" w:rsidRDefault="00970E2A" w:rsidP="00BE72D3">
      <w:r w:rsidRPr="00DC4F35">
        <w:lastRenderedPageBreak/>
        <w:t xml:space="preserve">Om indholdet af </w:t>
      </w:r>
      <w:r w:rsidR="00323AE1" w:rsidRPr="00DC4F35">
        <w:t xml:space="preserve">Professional Services Data har Microsoft svaret følgende i forbindelse med udarbejdelsen af konsekvensanalysen: </w:t>
      </w:r>
    </w:p>
    <w:p w14:paraId="275BD509" w14:textId="77777777" w:rsidR="00323AE1" w:rsidRPr="00DC4F35" w:rsidRDefault="00323AE1" w:rsidP="00BE72D3"/>
    <w:p w14:paraId="68C5254A" w14:textId="12B16A0B" w:rsidR="0015240B" w:rsidRPr="001C19E7" w:rsidRDefault="00323AE1" w:rsidP="0015240B">
      <w:pPr>
        <w:ind w:left="1304" w:firstLine="1"/>
        <w:rPr>
          <w:i/>
          <w:iCs/>
          <w:lang w:val="en-US"/>
        </w:rPr>
      </w:pPr>
      <w:proofErr w:type="gramStart"/>
      <w:r w:rsidRPr="001C19E7">
        <w:rPr>
          <w:i/>
          <w:iCs/>
          <w:lang w:val="en-US"/>
        </w:rPr>
        <w:t>”</w:t>
      </w:r>
      <w:r w:rsidR="0015240B" w:rsidRPr="001C19E7">
        <w:rPr>
          <w:i/>
          <w:iCs/>
          <w:lang w:val="en-US"/>
        </w:rPr>
        <w:t>Professional</w:t>
      </w:r>
      <w:proofErr w:type="gramEnd"/>
      <w:r w:rsidR="0015240B" w:rsidRPr="001C19E7">
        <w:rPr>
          <w:i/>
          <w:iCs/>
          <w:lang w:val="en-US"/>
        </w:rPr>
        <w:t xml:space="preserve"> Services Data means all data, including all text, sound, video, image files, or software, that is provided to Microsoft by, or on behalf of, customers (or that customers authorize Microsoft to obtain from an Online Service) through an engagement with Microsoft to obtain Professional Services. </w:t>
      </w:r>
    </w:p>
    <w:p w14:paraId="6CDA6DC1" w14:textId="77777777" w:rsidR="0015240B" w:rsidRPr="001C19E7" w:rsidRDefault="0015240B" w:rsidP="00BE72D3">
      <w:pPr>
        <w:rPr>
          <w:i/>
          <w:iCs/>
          <w:lang w:val="en-US"/>
        </w:rPr>
      </w:pPr>
    </w:p>
    <w:p w14:paraId="26EAC195" w14:textId="4F537E44" w:rsidR="00323AE1" w:rsidRPr="001C19E7" w:rsidRDefault="0015240B" w:rsidP="0015240B">
      <w:pPr>
        <w:ind w:left="1304"/>
        <w:rPr>
          <w:i/>
          <w:iCs/>
          <w:lang w:val="en-US"/>
        </w:rPr>
      </w:pPr>
      <w:r w:rsidRPr="001C19E7">
        <w:rPr>
          <w:i/>
          <w:iCs/>
          <w:lang w:val="en-US"/>
        </w:rPr>
        <w:t>This may include information collected over phone, chat, e-mail, or web form. It may include description of problems, files transferred to Microsoft to resolve support issues, automated troubleshooters, or by accessing customer systems remotely with customer permission.”</w:t>
      </w:r>
    </w:p>
    <w:p w14:paraId="54D29994" w14:textId="77777777" w:rsidR="00A81C3C" w:rsidRPr="001C19E7" w:rsidRDefault="00A81C3C" w:rsidP="00BE72D3">
      <w:pPr>
        <w:rPr>
          <w:highlight w:val="yellow"/>
          <w:lang w:val="en-US"/>
        </w:rPr>
      </w:pPr>
    </w:p>
    <w:p w14:paraId="7496DE02" w14:textId="4458F541" w:rsidR="0015240B" w:rsidRPr="00DC4F35" w:rsidRDefault="0015240B" w:rsidP="0015240B">
      <w:r w:rsidRPr="00DC4F35">
        <w:t xml:space="preserve">Professional Services Data </w:t>
      </w:r>
      <w:r w:rsidR="00EC0433" w:rsidRPr="00DC4F35">
        <w:t xml:space="preserve">vil </w:t>
      </w:r>
      <w:r w:rsidRPr="00DC4F35">
        <w:t xml:space="preserve">blive overført til et af Microsofts datacentre i USA, da disse oplysninger på nuværende tidspunkt ikke er omfattet af EU Data </w:t>
      </w:r>
      <w:proofErr w:type="spellStart"/>
      <w:r w:rsidRPr="00DC4F35">
        <w:t>Boundary</w:t>
      </w:r>
      <w:proofErr w:type="spellEnd"/>
      <w:r w:rsidRPr="00DC4F35">
        <w:t xml:space="preserve"> services. Modtageren vil være det amerikanske moderselskab, Microsoft Corporation, som ejer og er ansvarlig for de amerikanske datacentre. Microsoft planlægger dog senere i år (2024) at udvide EU Data </w:t>
      </w:r>
      <w:proofErr w:type="spellStart"/>
      <w:r w:rsidRPr="00DC4F35">
        <w:t>Boundary</w:t>
      </w:r>
      <w:proofErr w:type="spellEnd"/>
      <w:r w:rsidRPr="00DC4F35">
        <w:t>, sådan at det også omfatter support-ydelser og dermed Professional Services Data. Når det sker, vil disse oplysninger således også kunne opbevares og behandles inden for EU/EØS.</w:t>
      </w:r>
    </w:p>
    <w:p w14:paraId="4305EB6C" w14:textId="77777777" w:rsidR="005D78D3" w:rsidRDefault="005D78D3" w:rsidP="0015240B"/>
    <w:p w14:paraId="1386D4B5" w14:textId="537C957F" w:rsidR="006A7195" w:rsidRDefault="006A7195" w:rsidP="006A7195">
      <w:r w:rsidRPr="00FE2C9A">
        <w:t>Overførsel af ”</w:t>
      </w:r>
      <w:proofErr w:type="spellStart"/>
      <w:r w:rsidRPr="00FE2C9A">
        <w:t>customer</w:t>
      </w:r>
      <w:proofErr w:type="spellEnd"/>
      <w:r w:rsidRPr="00FE2C9A">
        <w:t xml:space="preserve"> content”</w:t>
      </w:r>
      <w:r>
        <w:t xml:space="preserve"> sker ved </w:t>
      </w:r>
      <w:proofErr w:type="spellStart"/>
      <w:r>
        <w:t>remote</w:t>
      </w:r>
      <w:proofErr w:type="spellEnd"/>
      <w:r>
        <w:t xml:space="preserve"> </w:t>
      </w:r>
      <w:proofErr w:type="spellStart"/>
      <w:r>
        <w:t>access</w:t>
      </w:r>
      <w:proofErr w:type="spellEnd"/>
      <w:r>
        <w:t xml:space="preserve">, jf. afsnit </w:t>
      </w:r>
      <w:r>
        <w:fldChar w:fldCharType="begin"/>
      </w:r>
      <w:r>
        <w:instrText xml:space="preserve"> REF _Ref164289389 \r \h </w:instrText>
      </w:r>
      <w:r>
        <w:fldChar w:fldCharType="separate"/>
      </w:r>
      <w:r w:rsidR="00C05EBE">
        <w:t>3.1.1.3</w:t>
      </w:r>
      <w:r>
        <w:fldChar w:fldCharType="end"/>
      </w:r>
      <w:r>
        <w:t xml:space="preserve">. Der </w:t>
      </w:r>
      <w:r w:rsidRPr="0044780B">
        <w:rPr>
          <w:i/>
          <w:iCs/>
        </w:rPr>
        <w:t>opbevares</w:t>
      </w:r>
      <w:r>
        <w:t xml:space="preserve"> derfor ikke </w:t>
      </w:r>
      <w:r w:rsidRPr="0044780B">
        <w:t>følsomme personoplysninger, fortrolige oplysninger eller oplysninger om strafbare forhold</w:t>
      </w:r>
      <w:r>
        <w:t xml:space="preserve"> om registrerede udenfor </w:t>
      </w:r>
      <w:r w:rsidRPr="00DC4F35">
        <w:t>EU/EØS</w:t>
      </w:r>
      <w:r>
        <w:t xml:space="preserve"> i forbindelse med supportydelser. </w:t>
      </w:r>
    </w:p>
    <w:p w14:paraId="369ADD00" w14:textId="77777777" w:rsidR="006A7195" w:rsidRDefault="006A7195" w:rsidP="006A7195"/>
    <w:p w14:paraId="6E1D1A25" w14:textId="21B5BE45" w:rsidR="006A7195" w:rsidRPr="00DC4F35" w:rsidRDefault="006A7195" w:rsidP="006A7195">
      <w:r>
        <w:t>Oplysninger af anden karakter, f.eks. logoplysninger og oplysninger om problemet anført i supporthenvendelse, kan dog overføres og lagres hos</w:t>
      </w:r>
      <w:r w:rsidRPr="00DC4F35">
        <w:t xml:space="preserve"> et af Microsofts datacentre i USA</w:t>
      </w:r>
      <w:r>
        <w:t>.</w:t>
      </w:r>
      <w:r w:rsidR="00EB6D1E">
        <w:t xml:space="preserve"> </w:t>
      </w:r>
    </w:p>
    <w:p w14:paraId="6888536F" w14:textId="77777777" w:rsidR="006A7195" w:rsidRPr="00DC4F35" w:rsidRDefault="006A7195" w:rsidP="0015240B"/>
    <w:p w14:paraId="16501B80" w14:textId="35F31E9E" w:rsidR="005D78D3" w:rsidRDefault="005D78D3" w:rsidP="0015240B">
      <w:r w:rsidRPr="00DC4F35">
        <w:t xml:space="preserve">Overførslerne til Microsoft Corporation og disses underdatabehandlere etableret i USA vil være lovlige, jf. herom </w:t>
      </w:r>
      <w:r w:rsidR="00B56988" w:rsidRPr="00DC4F35">
        <w:t xml:space="preserve">ovenfor afsnit </w:t>
      </w:r>
      <w:r w:rsidR="00243BCE" w:rsidRPr="00DC4F35">
        <w:t>5.3.</w:t>
      </w:r>
    </w:p>
    <w:p w14:paraId="3B37DC35" w14:textId="77777777" w:rsidR="0015240B" w:rsidRPr="00FE2C9A" w:rsidRDefault="0015240B" w:rsidP="00BE72D3"/>
    <w:p w14:paraId="3D483EAF" w14:textId="4C24B4CF" w:rsidR="0073629B" w:rsidRPr="00DC4F35" w:rsidRDefault="00EB6D1E" w:rsidP="00BE72D3">
      <w:r>
        <w:t>Det kan ikke udelukkes, at der kan opstå behov</w:t>
      </w:r>
      <w:r w:rsidR="002C5273">
        <w:t xml:space="preserve"> for at få supportydelser</w:t>
      </w:r>
      <w:r>
        <w:t xml:space="preserve"> </w:t>
      </w:r>
      <w:r w:rsidR="002C5273">
        <w:t>fra</w:t>
      </w:r>
      <w:r w:rsidR="0031781E" w:rsidRPr="00DC4F35">
        <w:t xml:space="preserve"> til </w:t>
      </w:r>
      <w:r w:rsidR="00E65070" w:rsidRPr="00DC4F35">
        <w:t xml:space="preserve">usikre </w:t>
      </w:r>
      <w:r w:rsidR="0031781E" w:rsidRPr="00DC4F35">
        <w:t>tredjelande</w:t>
      </w:r>
      <w:r w:rsidR="002C5273">
        <w:t xml:space="preserve"> som, om end det er svært at forestille sig, forudsætter fjernadgang til </w:t>
      </w:r>
      <w:proofErr w:type="spellStart"/>
      <w:r w:rsidR="002C5273">
        <w:t>cu</w:t>
      </w:r>
      <w:r w:rsidR="002C3386">
        <w:t>s</w:t>
      </w:r>
      <w:r w:rsidR="002C5273">
        <w:t>tomer</w:t>
      </w:r>
      <w:proofErr w:type="spellEnd"/>
      <w:r w:rsidR="002C5273">
        <w:t xml:space="preserve"> content/Customer Data og heri indeholdte </w:t>
      </w:r>
      <w:r w:rsidR="00335B11" w:rsidRPr="00DC4F35">
        <w:t>følsomme personoplysninger, fortrolige oplysninger eller oplysninger om strafbare forhold</w:t>
      </w:r>
      <w:r w:rsidR="002C5273">
        <w:t xml:space="preserve">. </w:t>
      </w:r>
      <w:r w:rsidR="00066E6B">
        <w:t xml:space="preserve">På samme måde kan der opstå behov for videreoverførsel af </w:t>
      </w:r>
      <w:r w:rsidR="00E07160">
        <w:t>andre data overført som led i konkrete supportydelser.</w:t>
      </w:r>
    </w:p>
    <w:p w14:paraId="71237669" w14:textId="77777777" w:rsidR="0073629B" w:rsidRPr="00DC4F35" w:rsidRDefault="0073629B" w:rsidP="00BE72D3"/>
    <w:p w14:paraId="5EFC20A3" w14:textId="5714A49A" w:rsidR="00ED7E33" w:rsidRPr="00DC4F35" w:rsidRDefault="00EB6D1E" w:rsidP="00BE72D3">
      <w:r>
        <w:t>Med henblik på at sikre</w:t>
      </w:r>
      <w:r w:rsidR="002C5273">
        <w:t xml:space="preserve"> kontrol med adgang til sådanne data</w:t>
      </w:r>
      <w:r>
        <w:t xml:space="preserve"> </w:t>
      </w:r>
      <w:r w:rsidR="002C5273">
        <w:t>i supportsituationer,</w:t>
      </w:r>
      <w:r>
        <w:t xml:space="preserve"> har </w:t>
      </w:r>
      <w:r w:rsidR="00ED7E33" w:rsidRPr="00DC4F35">
        <w:t xml:space="preserve">De </w:t>
      </w:r>
      <w:proofErr w:type="gramStart"/>
      <w:r w:rsidR="00ED7E33" w:rsidRPr="00DC4F35">
        <w:t>Dataansvarlige  besluttet</w:t>
      </w:r>
      <w:proofErr w:type="gramEnd"/>
      <w:r w:rsidR="00ED7E33" w:rsidRPr="00DC4F35">
        <w:t xml:space="preserve"> at tilkøbe den tekniske løsning Customer </w:t>
      </w:r>
      <w:proofErr w:type="spellStart"/>
      <w:r w:rsidR="00ED7E33" w:rsidRPr="00DC4F35">
        <w:t>Lockbox</w:t>
      </w:r>
      <w:proofErr w:type="spellEnd"/>
      <w:r w:rsidR="00ED7E33" w:rsidRPr="00DC4F35">
        <w:t>, som medfører, at en supporter fra Microsoft skal have en konkret accept</w:t>
      </w:r>
      <w:r w:rsidR="00461FD4" w:rsidRPr="00DC4F35">
        <w:t>,</w:t>
      </w:r>
      <w:r w:rsidR="00ED7E33" w:rsidRPr="00DC4F35">
        <w:t xml:space="preserve"> før der gives adgang til personoplysninger. Det betyder også, at det er muligt </w:t>
      </w:r>
      <w:r w:rsidR="00ED7E33" w:rsidRPr="00DC4F35">
        <w:lastRenderedPageBreak/>
        <w:t>at afvise adgang hertil. Autorisation til at kunne give en Microsoft</w:t>
      </w:r>
      <w:r w:rsidR="00461FD4" w:rsidRPr="00DC4F35">
        <w:t>-</w:t>
      </w:r>
      <w:r w:rsidR="00ED7E33" w:rsidRPr="00DC4F35">
        <w:t xml:space="preserve">supporter uden for </w:t>
      </w:r>
      <w:proofErr w:type="gramStart"/>
      <w:r w:rsidR="00ED7E33" w:rsidRPr="00DC4F35">
        <w:t>EU/EØS adgang</w:t>
      </w:r>
      <w:proofErr w:type="gramEnd"/>
      <w:r w:rsidR="00ED7E33" w:rsidRPr="00DC4F35">
        <w:t xml:space="preserve"> til De Dataansvarliges personoplysninger vil i videst muligt omfang begrænses til supportere i S</w:t>
      </w:r>
      <w:r w:rsidR="007D2FA6" w:rsidRPr="00DC4F35">
        <w:t xml:space="preserve">tatens </w:t>
      </w:r>
      <w:r w:rsidR="00ED7E33" w:rsidRPr="00DC4F35">
        <w:t>I</w:t>
      </w:r>
      <w:r w:rsidR="007D2FA6" w:rsidRPr="00DC4F35">
        <w:t>t</w:t>
      </w:r>
      <w:r w:rsidR="00ED7E33" w:rsidRPr="00DC4F35">
        <w:t>, der skal informeres og trænes i forbindelse med håndteringen af Microsoft</w:t>
      </w:r>
      <w:r w:rsidR="00461FD4" w:rsidRPr="00DC4F35">
        <w:t>-</w:t>
      </w:r>
      <w:r w:rsidR="00ED7E33" w:rsidRPr="00DC4F35">
        <w:t xml:space="preserve">sager. Det vil således kun være de medarbejdere, der er tildelt administratorrollen som ”Customer </w:t>
      </w:r>
      <w:proofErr w:type="spellStart"/>
      <w:r w:rsidR="00ED7E33" w:rsidRPr="00DC4F35">
        <w:t>Lockbox</w:t>
      </w:r>
      <w:proofErr w:type="spellEnd"/>
      <w:r w:rsidR="00ED7E33" w:rsidRPr="00DC4F35">
        <w:t xml:space="preserve"> </w:t>
      </w:r>
      <w:proofErr w:type="spellStart"/>
      <w:r w:rsidR="00ED7E33" w:rsidRPr="00DC4F35">
        <w:t>access</w:t>
      </w:r>
      <w:proofErr w:type="spellEnd"/>
      <w:r w:rsidR="00ED7E33" w:rsidRPr="00DC4F35">
        <w:t xml:space="preserve"> </w:t>
      </w:r>
      <w:proofErr w:type="spellStart"/>
      <w:r w:rsidR="00ED7E33" w:rsidRPr="00DC4F35">
        <w:t>approver</w:t>
      </w:r>
      <w:proofErr w:type="spellEnd"/>
      <w:r w:rsidR="00ED7E33" w:rsidRPr="00DC4F35">
        <w:t>”, der kan godkende eller afvise en anmodning om adgang til personoplysninger.</w:t>
      </w:r>
      <w:r w:rsidR="0007158F" w:rsidRPr="00DC4F35">
        <w:rPr>
          <w:rStyle w:val="Fodnotehenvisning"/>
        </w:rPr>
        <w:footnoteReference w:id="43"/>
      </w:r>
    </w:p>
    <w:p w14:paraId="51AEE87A" w14:textId="77777777" w:rsidR="002118AE" w:rsidRPr="00DC4F35" w:rsidRDefault="002118AE" w:rsidP="00BE72D3"/>
    <w:p w14:paraId="628CBA3D" w14:textId="3CC38398" w:rsidR="00B91E16" w:rsidRPr="00DC4F35" w:rsidRDefault="00ED7E33" w:rsidP="00BE72D3">
      <w:r w:rsidRPr="00DC4F35">
        <w:t>Konsekvenserne for de registrerede</w:t>
      </w:r>
      <w:r w:rsidR="00EC711A" w:rsidRPr="00DC4F35">
        <w:t>s rettigheder</w:t>
      </w:r>
      <w:r w:rsidRPr="00DC4F35">
        <w:t xml:space="preserve"> i tilfælde</w:t>
      </w:r>
      <w:r w:rsidR="00461FD4" w:rsidRPr="00DC4F35">
        <w:t>,</w:t>
      </w:r>
      <w:r w:rsidRPr="00DC4F35">
        <w:t xml:space="preserve"> hvor de overførte personoplysninger behandles i strid med databeskyttelsesforordningen</w:t>
      </w:r>
      <w:r w:rsidR="00CC4341" w:rsidRPr="00DC4F35">
        <w:t xml:space="preserve"> af </w:t>
      </w:r>
      <w:r w:rsidR="009266F8" w:rsidRPr="00DC4F35">
        <w:t xml:space="preserve">usikre </w:t>
      </w:r>
      <w:r w:rsidR="00CC4341" w:rsidRPr="00DC4F35">
        <w:t>tredjelandes myndigheder</w:t>
      </w:r>
      <w:r w:rsidRPr="00DC4F35">
        <w:t xml:space="preserve">, kan </w:t>
      </w:r>
      <w:r w:rsidR="00EC711A" w:rsidRPr="00DC4F35">
        <w:t xml:space="preserve">for så vidt </w:t>
      </w:r>
      <w:proofErr w:type="gramStart"/>
      <w:r w:rsidR="00EC711A" w:rsidRPr="00DC4F35">
        <w:t>angår</w:t>
      </w:r>
      <w:proofErr w:type="gramEnd"/>
      <w:r w:rsidR="00EC711A" w:rsidRPr="00DC4F35">
        <w:t xml:space="preserve"> følsomme</w:t>
      </w:r>
      <w:r w:rsidRPr="00DC4F35">
        <w:t xml:space="preserve"> personoplysninger</w:t>
      </w:r>
      <w:r w:rsidR="00EC711A" w:rsidRPr="00DC4F35">
        <w:t>, fortrolige oplysninger og oplysninger om strafbare forhold</w:t>
      </w:r>
      <w:r w:rsidRPr="00DC4F35">
        <w:t xml:space="preserve"> være</w:t>
      </w:r>
      <w:r w:rsidR="00B016C1">
        <w:t xml:space="preserve"> </w:t>
      </w:r>
      <w:r w:rsidR="003210C2">
        <w:t>meget alvorlige for de registrerede</w:t>
      </w:r>
      <w:r w:rsidRPr="00DC4F35">
        <w:t xml:space="preserve"> </w:t>
      </w:r>
      <w:r w:rsidR="0042696B" w:rsidRPr="00DC4F35">
        <w:t>(</w:t>
      </w:r>
      <w:r w:rsidR="003210C2">
        <w:t>4</w:t>
      </w:r>
      <w:r w:rsidR="0042696B" w:rsidRPr="00DC4F35">
        <w:t>)</w:t>
      </w:r>
      <w:r w:rsidR="00AC6450" w:rsidRPr="00DC4F35">
        <w:t>, idet der er tale om tab af kontrol over oplysningerne.</w:t>
      </w:r>
    </w:p>
    <w:p w14:paraId="444B821E" w14:textId="77777777" w:rsidR="00B91E16" w:rsidRPr="00DC4F35" w:rsidRDefault="00B91E16" w:rsidP="00BE72D3"/>
    <w:p w14:paraId="4632EC87" w14:textId="0C221D7C" w:rsidR="00F65AE9" w:rsidRPr="00DC4F35" w:rsidRDefault="00ED7E33" w:rsidP="00BE72D3">
      <w:r w:rsidRPr="00DC4F35">
        <w:t xml:space="preserve">Hvis De Dataansvarlige imidlertid </w:t>
      </w:r>
      <w:r w:rsidR="0007158F" w:rsidRPr="00DC4F35">
        <w:t xml:space="preserve">anvender Customer </w:t>
      </w:r>
      <w:proofErr w:type="spellStart"/>
      <w:r w:rsidR="0007158F" w:rsidRPr="00DC4F35">
        <w:t>Lockbox</w:t>
      </w:r>
      <w:proofErr w:type="spellEnd"/>
      <w:r w:rsidR="0007158F" w:rsidRPr="00DC4F35">
        <w:t xml:space="preserve"> og træner relevant personel i </w:t>
      </w:r>
      <w:r w:rsidR="00D03931">
        <w:t>anvendelsen heraf</w:t>
      </w:r>
      <w:r w:rsidR="0007158F" w:rsidRPr="00DC4F35">
        <w:t>, herunder hvilke oplysninger der må gives adgang til</w:t>
      </w:r>
      <w:r w:rsidR="004460DC" w:rsidRPr="00DC4F35">
        <w:t>, og når der tages hensyntagen til overførslernes korte varighed i supportfunktionen</w:t>
      </w:r>
      <w:r w:rsidR="00E07160">
        <w:t xml:space="preserve"> og at adgangen sker ved fjernadgang</w:t>
      </w:r>
      <w:r w:rsidR="004460DC" w:rsidRPr="00DC4F35">
        <w:t xml:space="preserve"> </w:t>
      </w:r>
      <w:r w:rsidR="00120F92" w:rsidRPr="00DC4F35">
        <w:t>–</w:t>
      </w:r>
      <w:r w:rsidR="00A25B5C" w:rsidRPr="00DC4F35">
        <w:t xml:space="preserve"> samt når der i øvrigt tages hensyn til </w:t>
      </w:r>
      <w:r w:rsidR="00120F92" w:rsidRPr="00DC4F35">
        <w:t xml:space="preserve">de øvrige fastsatte tekniske, organisatoriske og kontraktuelle foranstaltninger med henblik på at sikre et fornødent beskyttelsesniveau, jf. afsnit </w:t>
      </w:r>
      <w:r w:rsidR="00164FCA" w:rsidRPr="00DC4F35">
        <w:fldChar w:fldCharType="begin"/>
      </w:r>
      <w:r w:rsidR="00164FCA" w:rsidRPr="00DC4F35">
        <w:instrText xml:space="preserve"> REF _Ref165118377 \r \h </w:instrText>
      </w:r>
      <w:r w:rsidR="00164FCA" w:rsidRPr="00DC4F35">
        <w:fldChar w:fldCharType="separate"/>
      </w:r>
      <w:r w:rsidR="00C05EBE">
        <w:t>6.1</w:t>
      </w:r>
      <w:r w:rsidR="00164FCA" w:rsidRPr="00DC4F35">
        <w:fldChar w:fldCharType="end"/>
      </w:r>
      <w:r w:rsidR="00120F92" w:rsidRPr="00DC4F35">
        <w:t>-</w:t>
      </w:r>
      <w:r w:rsidR="00164FCA" w:rsidRPr="00DC4F35">
        <w:fldChar w:fldCharType="begin"/>
      </w:r>
      <w:r w:rsidR="00164FCA" w:rsidRPr="00DC4F35">
        <w:instrText xml:space="preserve"> REF _Ref167400841 \r \h </w:instrText>
      </w:r>
      <w:r w:rsidR="00164FCA" w:rsidRPr="00DC4F35">
        <w:fldChar w:fldCharType="separate"/>
      </w:r>
      <w:r w:rsidR="00C05EBE">
        <w:t>6.3</w:t>
      </w:r>
      <w:r w:rsidR="00164FCA" w:rsidRPr="00DC4F35">
        <w:fldChar w:fldCharType="end"/>
      </w:r>
      <w:r w:rsidR="00120F92" w:rsidRPr="00DC4F35">
        <w:t xml:space="preserve"> ovenfor – </w:t>
      </w:r>
      <w:r w:rsidRPr="00DC4F35">
        <w:t>vil det være meget usandsynligt</w:t>
      </w:r>
      <w:r w:rsidR="00B222B7" w:rsidRPr="00DC4F35">
        <w:t xml:space="preserve"> (1)</w:t>
      </w:r>
      <w:r w:rsidR="00EC711A" w:rsidRPr="00DC4F35">
        <w:t>,</w:t>
      </w:r>
      <w:r w:rsidRPr="00DC4F35">
        <w:t xml:space="preserve"> at en sådan hændelse indtræder.</w:t>
      </w:r>
      <w:r w:rsidR="00CE6B83" w:rsidRPr="00DC4F35">
        <w:t xml:space="preserve"> </w:t>
      </w:r>
      <w:r w:rsidRPr="00DC4F35">
        <w:t xml:space="preserve">Risikoen vurderes således at være </w:t>
      </w:r>
      <w:r w:rsidR="00D03931" w:rsidRPr="00D03931">
        <w:rPr>
          <w:b/>
          <w:bCs/>
        </w:rPr>
        <w:t>mellem</w:t>
      </w:r>
      <w:r w:rsidR="00EC711A" w:rsidRPr="00DC4F35">
        <w:t>.</w:t>
      </w:r>
    </w:p>
    <w:p w14:paraId="26AA9F12" w14:textId="77777777" w:rsidR="00F65AE9" w:rsidRPr="00DC4F35" w:rsidRDefault="00F65AE9" w:rsidP="00BE72D3"/>
    <w:p w14:paraId="1D2E8A7F" w14:textId="798012B6" w:rsidR="00ED7E33" w:rsidRDefault="00EC711A" w:rsidP="00BE72D3">
      <w:r w:rsidRPr="00DC4F35">
        <w:t>Når det i stedet vedrører</w:t>
      </w:r>
      <w:r w:rsidR="00ED7E33" w:rsidRPr="00DC4F35">
        <w:t xml:space="preserve"> </w:t>
      </w:r>
      <w:r w:rsidR="009508CE">
        <w:t xml:space="preserve">øvrige </w:t>
      </w:r>
      <w:r w:rsidR="00ED7E33" w:rsidRPr="00DC4F35">
        <w:t>personoplysninger</w:t>
      </w:r>
      <w:r w:rsidR="00CE6B83" w:rsidRPr="00DC4F35">
        <w:t xml:space="preserve"> indeholdt i Professional Services Data</w:t>
      </w:r>
      <w:r w:rsidR="0079063F" w:rsidRPr="00DC4F35">
        <w:t>,</w:t>
      </w:r>
      <w:r w:rsidR="00ED7E33" w:rsidRPr="00DC4F35">
        <w:t xml:space="preserve"> vurderes konsekvenserne for de registreredes rettigheder at være </w:t>
      </w:r>
      <w:r w:rsidR="00914046">
        <w:t xml:space="preserve">mindre alvorlige </w:t>
      </w:r>
      <w:r w:rsidR="006C6655" w:rsidRPr="00DC4F35">
        <w:t>(</w:t>
      </w:r>
      <w:r w:rsidR="00914046">
        <w:t>2</w:t>
      </w:r>
      <w:r w:rsidR="006C6655" w:rsidRPr="00DC4F35">
        <w:t>)</w:t>
      </w:r>
      <w:r w:rsidR="00ED7E33" w:rsidRPr="00DC4F35">
        <w:t xml:space="preserve">, men sandsynligheden herfor vurderes </w:t>
      </w:r>
      <w:r w:rsidRPr="00DC4F35">
        <w:t xml:space="preserve">samtidig at være øget </w:t>
      </w:r>
      <w:r w:rsidR="006C6655" w:rsidRPr="00DC4F35">
        <w:t xml:space="preserve">i begrænset omfang </w:t>
      </w:r>
      <w:r w:rsidRPr="00DC4F35">
        <w:t>til</w:t>
      </w:r>
      <w:r w:rsidR="00ED7E33" w:rsidRPr="00DC4F35">
        <w:t xml:space="preserve"> </w:t>
      </w:r>
      <w:r w:rsidR="00914046">
        <w:t xml:space="preserve">mindre </w:t>
      </w:r>
      <w:r w:rsidR="00ED7E33" w:rsidRPr="00DC4F35">
        <w:t>sandsynligt</w:t>
      </w:r>
      <w:r w:rsidR="006C6655" w:rsidRPr="00DC4F35">
        <w:t xml:space="preserve"> (</w:t>
      </w:r>
      <w:r w:rsidR="000D7190" w:rsidRPr="00DC4F35">
        <w:t>2</w:t>
      </w:r>
      <w:r w:rsidR="006C6655" w:rsidRPr="00DC4F35">
        <w:t>)</w:t>
      </w:r>
      <w:r w:rsidR="00ED7E33" w:rsidRPr="00DC4F35">
        <w:t>.</w:t>
      </w:r>
      <w:r w:rsidR="0007158F" w:rsidRPr="00DC4F35">
        <w:t xml:space="preserve"> Dette beror på, at det efter </w:t>
      </w:r>
      <w:r w:rsidR="00B3729E" w:rsidRPr="00DC4F35">
        <w:t xml:space="preserve">Statens </w:t>
      </w:r>
      <w:proofErr w:type="spellStart"/>
      <w:r w:rsidR="00B3729E" w:rsidRPr="00DC4F35">
        <w:t>It’s</w:t>
      </w:r>
      <w:proofErr w:type="spellEnd"/>
      <w:r w:rsidR="00B3729E" w:rsidRPr="00DC4F35">
        <w:t xml:space="preserve"> og Økonomistyrelsens</w:t>
      </w:r>
      <w:r w:rsidR="0007158F" w:rsidRPr="00DC4F35">
        <w:t xml:space="preserve"> opfattelse vil være mere sandsynligt, at der </w:t>
      </w:r>
      <w:r w:rsidR="00D33120" w:rsidRPr="00DC4F35">
        <w:t>er</w:t>
      </w:r>
      <w:r w:rsidR="0007158F" w:rsidRPr="00DC4F35">
        <w:t xml:space="preserve"> behov for adgang til </w:t>
      </w:r>
      <w:r w:rsidR="00914046">
        <w:t xml:space="preserve">disse øvrige </w:t>
      </w:r>
      <w:r w:rsidR="0007158F" w:rsidRPr="00DC4F35">
        <w:t>personoplysninger</w:t>
      </w:r>
      <w:r w:rsidR="00D33120" w:rsidRPr="00DC4F35">
        <w:t>, hvorfor der også er en større sandsynlighed for</w:t>
      </w:r>
      <w:r w:rsidR="0079063F" w:rsidRPr="00DC4F35">
        <w:t>,</w:t>
      </w:r>
      <w:r w:rsidR="00D33120" w:rsidRPr="00DC4F35">
        <w:t xml:space="preserve"> at en hændelse indtræder</w:t>
      </w:r>
      <w:r w:rsidR="005950A2" w:rsidRPr="00DC4F35">
        <w:t xml:space="preserve"> for så vidt angår sådanne personoplysninger</w:t>
      </w:r>
      <w:r w:rsidR="0007158F" w:rsidRPr="00DC4F35">
        <w:t>.</w:t>
      </w:r>
      <w:r w:rsidR="00ED7E33" w:rsidRPr="00DC4F35">
        <w:t xml:space="preserve"> Risikoen vurderes således også i dette tilfælde at være </w:t>
      </w:r>
      <w:r w:rsidR="00ED7E33" w:rsidRPr="005411B9">
        <w:rPr>
          <w:b/>
          <w:bCs/>
        </w:rPr>
        <w:t>medium</w:t>
      </w:r>
      <w:r w:rsidR="00ED7E33" w:rsidRPr="00DC4F35">
        <w:t>.</w:t>
      </w:r>
    </w:p>
    <w:p w14:paraId="776F4C4B" w14:textId="77777777" w:rsidR="00D61D37" w:rsidRPr="00DC4F35" w:rsidRDefault="00D61D37" w:rsidP="00BE72D3"/>
    <w:p w14:paraId="4C64C574" w14:textId="31699D5C" w:rsidR="00786678" w:rsidRPr="00DC4F35" w:rsidRDefault="00792F96" w:rsidP="00BE72D3">
      <w:r w:rsidRPr="00DC4F35">
        <w:t xml:space="preserve">Det samlede risikobillede fremgår af figuren nedenfor. </w:t>
      </w:r>
    </w:p>
    <w:p w14:paraId="4F38BE9B" w14:textId="77777777" w:rsidR="00792F96" w:rsidRPr="00DC4F35" w:rsidRDefault="00792F96" w:rsidP="00BE72D3"/>
    <w:p w14:paraId="272580B3" w14:textId="09A3E17D" w:rsidR="00424AA8" w:rsidRPr="00DC4F35" w:rsidRDefault="0039406A" w:rsidP="00BE72D3">
      <w:pPr>
        <w:rPr>
          <w:i/>
          <w:iCs/>
        </w:rPr>
      </w:pPr>
      <w:r w:rsidRPr="00DC4F35">
        <w:rPr>
          <w:i/>
          <w:iCs/>
        </w:rPr>
        <w:t xml:space="preserve">Figur </w:t>
      </w:r>
      <w:r w:rsidR="00426F10" w:rsidRPr="00DC4F35">
        <w:rPr>
          <w:i/>
          <w:iCs/>
        </w:rPr>
        <w:t>5</w:t>
      </w:r>
      <w:r w:rsidRPr="00DC4F35">
        <w:rPr>
          <w:i/>
          <w:iCs/>
        </w:rPr>
        <w:t xml:space="preserve">. </w:t>
      </w:r>
      <w:r w:rsidR="00D60A57" w:rsidRPr="00DC4F35">
        <w:rPr>
          <w:i/>
          <w:iCs/>
        </w:rPr>
        <w:t>Risikobillede efter</w:t>
      </w:r>
      <w:r w:rsidR="000D2358" w:rsidRPr="00DC4F35">
        <w:rPr>
          <w:i/>
          <w:iCs/>
        </w:rPr>
        <w:t xml:space="preserve"> mitigerende foranstaltninger</w:t>
      </w:r>
      <w:r w:rsidR="00AB3A0D" w:rsidRPr="00DC4F35">
        <w:rPr>
          <w:i/>
          <w:iCs/>
        </w:rPr>
        <w:t xml:space="preserve"> – Professional Services Data</w:t>
      </w:r>
    </w:p>
    <w:p w14:paraId="2EA7F692" w14:textId="3BE1FD2F" w:rsidR="00792F96" w:rsidRDefault="00792F96" w:rsidP="00BE72D3"/>
    <w:p w14:paraId="3915431D" w14:textId="21348D1F" w:rsidR="004E48FD" w:rsidRPr="00DC4F35" w:rsidRDefault="004E48FD" w:rsidP="00BE72D3">
      <w:r>
        <w:rPr>
          <w:noProof/>
          <w:lang w:eastAsia="da-DK"/>
        </w:rPr>
        <w:lastRenderedPageBreak/>
        <w:drawing>
          <wp:inline distT="0" distB="0" distL="0" distR="0" wp14:anchorId="78169BDA" wp14:editId="35B16F2E">
            <wp:extent cx="4598849" cy="2852928"/>
            <wp:effectExtent l="0" t="0" r="0" b="5080"/>
            <wp:docPr id="588302823"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302823" name="Billede 1" descr="Et billede, der indeholder tekst, skærmbillede, Font/skrifttype, nummer/tal&#10;&#10;Automatisk genereret beskrivelse"/>
                    <pic:cNvPicPr/>
                  </pic:nvPicPr>
                  <pic:blipFill>
                    <a:blip r:embed="rId15"/>
                    <a:stretch>
                      <a:fillRect/>
                    </a:stretch>
                  </pic:blipFill>
                  <pic:spPr>
                    <a:xfrm>
                      <a:off x="0" y="0"/>
                      <a:ext cx="4615878" cy="2863492"/>
                    </a:xfrm>
                    <a:prstGeom prst="rect">
                      <a:avLst/>
                    </a:prstGeom>
                  </pic:spPr>
                </pic:pic>
              </a:graphicData>
            </a:graphic>
          </wp:inline>
        </w:drawing>
      </w:r>
    </w:p>
    <w:p w14:paraId="46F54ECE" w14:textId="77777777" w:rsidR="00792F96" w:rsidRPr="00DC4F35" w:rsidRDefault="00792F96" w:rsidP="00BE72D3"/>
    <w:p w14:paraId="3953CB4E" w14:textId="526BFD0A" w:rsidR="00A2310E" w:rsidRPr="00DC4F35" w:rsidRDefault="00A2310E" w:rsidP="00A2310E">
      <w:r w:rsidRPr="00DC4F35">
        <w:t>De</w:t>
      </w:r>
      <w:r w:rsidR="00A70255" w:rsidRPr="00DC4F35">
        <w:t>n</w:t>
      </w:r>
      <w:r w:rsidRPr="00DC4F35">
        <w:t xml:space="preserve"> samlede risiko vil endvidere mindskes grundet en lavere sandsynlighed for overførsler/udleveringer til tredjelande, såfremt Microsoft leverer på sit løfte om senere i år (2024) at udvide EU Data </w:t>
      </w:r>
      <w:proofErr w:type="spellStart"/>
      <w:r w:rsidRPr="00DC4F35">
        <w:t>Boundary</w:t>
      </w:r>
      <w:proofErr w:type="spellEnd"/>
      <w:r w:rsidRPr="00DC4F35">
        <w:t>, sådan at det også omfatter support-ydelser og dermed Professional Services Data.</w:t>
      </w:r>
    </w:p>
    <w:p w14:paraId="2467B33C" w14:textId="77777777" w:rsidR="00A2310E" w:rsidRPr="00DC4F35" w:rsidRDefault="00A2310E" w:rsidP="00BE72D3"/>
    <w:p w14:paraId="150E259B" w14:textId="6DF7F1A0" w:rsidR="0036440D" w:rsidRPr="00DC4F35" w:rsidRDefault="0036440D" w:rsidP="0036440D">
      <w:pPr>
        <w:pStyle w:val="Overskrift4"/>
      </w:pPr>
      <w:r w:rsidRPr="00DC4F35">
        <w:t>ID-oplysninger</w:t>
      </w:r>
    </w:p>
    <w:p w14:paraId="5AC56BAC" w14:textId="77777777" w:rsidR="0036440D" w:rsidRPr="00DC4F35" w:rsidRDefault="0036440D" w:rsidP="0036440D">
      <w:pPr>
        <w:rPr>
          <w:rFonts w:cstheme="minorHAnsi"/>
          <w:iCs/>
        </w:rPr>
      </w:pPr>
      <w:r w:rsidRPr="00DC4F35">
        <w:rPr>
          <w:rFonts w:cstheme="minorHAnsi"/>
          <w:iCs/>
        </w:rPr>
        <w:t xml:space="preserve">Profiloplysninger, herunder ID-oplysninger, overføres i de begrænsede tilfælde, hvor der gælder undtagelser til EU Data </w:t>
      </w:r>
      <w:proofErr w:type="spellStart"/>
      <w:r w:rsidRPr="00DC4F35">
        <w:rPr>
          <w:rFonts w:cstheme="minorHAnsi"/>
          <w:iCs/>
        </w:rPr>
        <w:t>Boundary</w:t>
      </w:r>
      <w:proofErr w:type="spellEnd"/>
      <w:r w:rsidRPr="00DC4F35">
        <w:rPr>
          <w:rFonts w:cstheme="minorHAnsi"/>
          <w:iCs/>
        </w:rPr>
        <w:t xml:space="preserve">. </w:t>
      </w:r>
    </w:p>
    <w:p w14:paraId="62C08072" w14:textId="77777777" w:rsidR="0036440D" w:rsidRPr="00DC4F35" w:rsidRDefault="0036440D" w:rsidP="0036440D">
      <w:pPr>
        <w:rPr>
          <w:rFonts w:cstheme="minorHAnsi"/>
          <w:iCs/>
        </w:rPr>
      </w:pPr>
    </w:p>
    <w:p w14:paraId="0E0C82E3" w14:textId="07B12B94" w:rsidR="0036440D" w:rsidRPr="00DC4F35" w:rsidRDefault="0036440D" w:rsidP="0036440D">
      <w:pPr>
        <w:rPr>
          <w:rFonts w:cstheme="minorHAnsi"/>
          <w:iCs/>
        </w:rPr>
      </w:pPr>
      <w:r w:rsidRPr="00DC4F35">
        <w:rPr>
          <w:rFonts w:cstheme="minorHAnsi"/>
          <w:iCs/>
        </w:rPr>
        <w:t xml:space="preserve">Oplysningerne overføres kontinuerligt i forbindelse med følgende tilfælde: </w:t>
      </w:r>
    </w:p>
    <w:p w14:paraId="11060068" w14:textId="77777777" w:rsidR="0036440D" w:rsidRPr="00DC4F35" w:rsidRDefault="0036440D" w:rsidP="0036440D">
      <w:pPr>
        <w:rPr>
          <w:rFonts w:cstheme="minorHAnsi"/>
          <w:iCs/>
        </w:rPr>
      </w:pPr>
    </w:p>
    <w:p w14:paraId="2E4A4344" w14:textId="71ED8390" w:rsidR="0036440D" w:rsidRPr="00DC4F35" w:rsidRDefault="0036440D" w:rsidP="0065709B">
      <w:pPr>
        <w:pStyle w:val="Listeafsnit"/>
        <w:numPr>
          <w:ilvl w:val="0"/>
          <w:numId w:val="53"/>
        </w:numPr>
        <w:rPr>
          <w:rFonts w:cs="Calibri"/>
          <w:i/>
          <w:iCs/>
        </w:rPr>
      </w:pPr>
      <w:r w:rsidRPr="00DC4F35">
        <w:rPr>
          <w:rFonts w:cs="Calibri"/>
          <w:i/>
          <w:iCs/>
        </w:rPr>
        <w:t>“</w:t>
      </w:r>
      <w:proofErr w:type="spellStart"/>
      <w:r w:rsidR="0065709B" w:rsidRPr="00DC4F35">
        <w:rPr>
          <w:rFonts w:cs="Calibri"/>
          <w:i/>
          <w:iCs/>
        </w:rPr>
        <w:t>Protecting</w:t>
      </w:r>
      <w:proofErr w:type="spellEnd"/>
      <w:r w:rsidR="0065709B" w:rsidRPr="00DC4F35">
        <w:rPr>
          <w:rFonts w:cs="Calibri"/>
          <w:i/>
          <w:iCs/>
        </w:rPr>
        <w:t xml:space="preserve"> </w:t>
      </w:r>
      <w:proofErr w:type="spellStart"/>
      <w:r w:rsidR="0065709B" w:rsidRPr="00DC4F35">
        <w:rPr>
          <w:rFonts w:cs="Calibri"/>
          <w:i/>
          <w:iCs/>
        </w:rPr>
        <w:t>customers</w:t>
      </w:r>
      <w:proofErr w:type="spellEnd"/>
      <w:r w:rsidRPr="00DC4F35">
        <w:rPr>
          <w:rFonts w:cs="Calibri"/>
          <w:i/>
          <w:iCs/>
        </w:rPr>
        <w:t>”</w:t>
      </w:r>
    </w:p>
    <w:p w14:paraId="720344FE" w14:textId="55092181" w:rsidR="0036440D" w:rsidRPr="00DC4F35" w:rsidRDefault="0036440D" w:rsidP="00B95734">
      <w:pPr>
        <w:pStyle w:val="Listeafsnit"/>
        <w:numPr>
          <w:ilvl w:val="0"/>
          <w:numId w:val="53"/>
        </w:numPr>
        <w:rPr>
          <w:rFonts w:cstheme="minorHAnsi"/>
          <w:iCs/>
        </w:rPr>
      </w:pPr>
      <w:r w:rsidRPr="00DC4F35">
        <w:rPr>
          <w:rFonts w:cs="Calibri"/>
        </w:rPr>
        <w:t>“</w:t>
      </w:r>
      <w:r w:rsidR="0065709B" w:rsidRPr="00DC4F35">
        <w:rPr>
          <w:i/>
          <w:iCs/>
        </w:rPr>
        <w:t>Adgangsstyring/log in i tjenester</w:t>
      </w:r>
      <w:r w:rsidR="0065709B" w:rsidRPr="00DC4F35">
        <w:rPr>
          <w:rFonts w:cs="Calibri"/>
          <w:i/>
          <w:iCs/>
        </w:rPr>
        <w:t xml:space="preserve"> (</w:t>
      </w:r>
      <w:r w:rsidRPr="00DC4F35">
        <w:rPr>
          <w:rFonts w:cs="Calibri"/>
          <w:i/>
          <w:iCs/>
        </w:rPr>
        <w:t>Directory data</w:t>
      </w:r>
      <w:r w:rsidR="0065709B" w:rsidRPr="00DC4F35">
        <w:rPr>
          <w:rFonts w:cs="Calibri"/>
          <w:i/>
          <w:iCs/>
        </w:rPr>
        <w:t>)</w:t>
      </w:r>
      <w:r w:rsidRPr="00DC4F35">
        <w:rPr>
          <w:rFonts w:cs="Calibri"/>
        </w:rPr>
        <w:t>”</w:t>
      </w:r>
    </w:p>
    <w:p w14:paraId="027AB472" w14:textId="77777777" w:rsidR="0036440D" w:rsidRPr="00DC4F35" w:rsidRDefault="0036440D" w:rsidP="0036440D">
      <w:pPr>
        <w:rPr>
          <w:rFonts w:cstheme="minorHAnsi"/>
          <w:iCs/>
        </w:rPr>
      </w:pPr>
    </w:p>
    <w:p w14:paraId="386929BE" w14:textId="77777777" w:rsidR="0036440D" w:rsidRPr="00DC4F35" w:rsidRDefault="0036440D" w:rsidP="0036440D">
      <w:pPr>
        <w:rPr>
          <w:rFonts w:cstheme="minorHAnsi"/>
          <w:iCs/>
        </w:rPr>
      </w:pPr>
      <w:r w:rsidRPr="00DC4F35">
        <w:rPr>
          <w:rFonts w:cstheme="minorHAnsi"/>
          <w:iCs/>
        </w:rPr>
        <w:t>Oplysninger overføres potentielt/lejlighedsvist i forbindelse med følgende tilfælde:</w:t>
      </w:r>
    </w:p>
    <w:p w14:paraId="35733DEF" w14:textId="77777777" w:rsidR="0036440D" w:rsidRPr="00DC4F35" w:rsidRDefault="0036440D" w:rsidP="0036440D">
      <w:pPr>
        <w:rPr>
          <w:rFonts w:cstheme="minorHAnsi"/>
          <w:iCs/>
        </w:rPr>
      </w:pPr>
    </w:p>
    <w:p w14:paraId="211BD77D" w14:textId="3FDD2CF0" w:rsidR="0036440D" w:rsidRPr="00DC4F35" w:rsidRDefault="0036440D" w:rsidP="001F7215">
      <w:pPr>
        <w:pStyle w:val="Listeafsnit"/>
        <w:numPr>
          <w:ilvl w:val="0"/>
          <w:numId w:val="56"/>
        </w:numPr>
        <w:rPr>
          <w:rFonts w:cstheme="minorHAnsi"/>
          <w:iCs/>
        </w:rPr>
      </w:pPr>
      <w:r w:rsidRPr="00DC4F35">
        <w:rPr>
          <w:rFonts w:cs="Calibri"/>
          <w:i/>
          <w:iCs/>
        </w:rPr>
        <w:t>”</w:t>
      </w:r>
      <w:r w:rsidR="0065709B" w:rsidRPr="00DC4F35">
        <w:rPr>
          <w:rFonts w:cs="Calibri"/>
          <w:i/>
          <w:iCs/>
        </w:rPr>
        <w:t>Opretholdelse af services</w:t>
      </w:r>
      <w:r w:rsidRPr="00DC4F35">
        <w:rPr>
          <w:rFonts w:cs="Calibri"/>
          <w:i/>
          <w:iCs/>
        </w:rPr>
        <w:t xml:space="preserve">” </w:t>
      </w:r>
    </w:p>
    <w:p w14:paraId="44268BD6" w14:textId="76501F65" w:rsidR="0036440D" w:rsidRPr="00DC4F35" w:rsidRDefault="0036440D" w:rsidP="001F7215">
      <w:pPr>
        <w:pStyle w:val="Listeafsnit"/>
        <w:numPr>
          <w:ilvl w:val="0"/>
          <w:numId w:val="56"/>
        </w:numPr>
        <w:rPr>
          <w:rFonts w:cstheme="minorHAnsi"/>
          <w:iCs/>
        </w:rPr>
      </w:pPr>
      <w:r w:rsidRPr="00DC4F35">
        <w:rPr>
          <w:rFonts w:cs="Calibri"/>
          <w:i/>
          <w:iCs/>
        </w:rPr>
        <w:t>“</w:t>
      </w:r>
      <w:proofErr w:type="spellStart"/>
      <w:r w:rsidR="0065709B" w:rsidRPr="00DC4F35">
        <w:rPr>
          <w:rFonts w:cs="Calibri"/>
          <w:i/>
          <w:iCs/>
        </w:rPr>
        <w:t>Protecting</w:t>
      </w:r>
      <w:proofErr w:type="spellEnd"/>
      <w:r w:rsidR="0065709B" w:rsidRPr="00DC4F35">
        <w:rPr>
          <w:rFonts w:cs="Calibri"/>
          <w:i/>
          <w:iCs/>
        </w:rPr>
        <w:t xml:space="preserve"> </w:t>
      </w:r>
      <w:proofErr w:type="spellStart"/>
      <w:r w:rsidR="0065709B" w:rsidRPr="00DC4F35">
        <w:rPr>
          <w:rFonts w:cs="Calibri"/>
          <w:i/>
          <w:iCs/>
        </w:rPr>
        <w:t>customers</w:t>
      </w:r>
      <w:proofErr w:type="spellEnd"/>
      <w:r w:rsidRPr="00DC4F35">
        <w:rPr>
          <w:rFonts w:cs="Calibri"/>
          <w:i/>
          <w:iCs/>
        </w:rPr>
        <w:t>”</w:t>
      </w:r>
    </w:p>
    <w:p w14:paraId="15CF57C7" w14:textId="26FA7880" w:rsidR="0036440D" w:rsidRPr="00DC4F35" w:rsidRDefault="0036440D" w:rsidP="001F7215">
      <w:pPr>
        <w:pStyle w:val="Listeafsnit"/>
        <w:numPr>
          <w:ilvl w:val="0"/>
          <w:numId w:val="56"/>
        </w:numPr>
        <w:rPr>
          <w:rFonts w:cstheme="minorHAnsi"/>
          <w:iCs/>
        </w:rPr>
      </w:pPr>
      <w:r w:rsidRPr="00DC4F35">
        <w:rPr>
          <w:rFonts w:cs="Calibri"/>
        </w:rPr>
        <w:t>“</w:t>
      </w:r>
      <w:r w:rsidR="0065709B" w:rsidRPr="00DC4F35">
        <w:rPr>
          <w:i/>
          <w:iCs/>
        </w:rPr>
        <w:t>Adgangsstyring/log in i tjenester</w:t>
      </w:r>
      <w:r w:rsidR="0065709B" w:rsidRPr="00DC4F35">
        <w:rPr>
          <w:rFonts w:cs="Calibri"/>
          <w:i/>
          <w:iCs/>
        </w:rPr>
        <w:t xml:space="preserve"> (Directory data)</w:t>
      </w:r>
      <w:r w:rsidRPr="00DC4F35">
        <w:rPr>
          <w:rFonts w:cs="Calibri"/>
        </w:rPr>
        <w:t>”</w:t>
      </w:r>
    </w:p>
    <w:p w14:paraId="66806A4E" w14:textId="1EF75E4C" w:rsidR="0036440D" w:rsidRPr="001C19E7" w:rsidRDefault="0036440D" w:rsidP="001F7215">
      <w:pPr>
        <w:pStyle w:val="Listeafsnit"/>
        <w:numPr>
          <w:ilvl w:val="0"/>
          <w:numId w:val="56"/>
        </w:numPr>
        <w:rPr>
          <w:rFonts w:cstheme="minorHAnsi"/>
          <w:iCs/>
          <w:lang w:val="en-US"/>
        </w:rPr>
      </w:pPr>
      <w:r w:rsidRPr="001C19E7">
        <w:rPr>
          <w:rFonts w:cs="Calibri"/>
          <w:i/>
          <w:iCs/>
          <w:lang w:val="en-US"/>
        </w:rPr>
        <w:t>“Fulfilling GDPR data subject rights”</w:t>
      </w:r>
      <w:r w:rsidR="002B434B" w:rsidRPr="001C19E7">
        <w:rPr>
          <w:rFonts w:cs="Calibri"/>
          <w:i/>
          <w:iCs/>
          <w:lang w:val="en-US"/>
        </w:rPr>
        <w:t>.</w:t>
      </w:r>
    </w:p>
    <w:p w14:paraId="6B383888" w14:textId="510B9EFB" w:rsidR="005666AB" w:rsidRPr="00DC4F35" w:rsidRDefault="005666AB" w:rsidP="001F7215">
      <w:pPr>
        <w:pStyle w:val="Listeafsnit"/>
        <w:numPr>
          <w:ilvl w:val="0"/>
          <w:numId w:val="56"/>
        </w:numPr>
        <w:rPr>
          <w:rFonts w:cstheme="minorHAnsi"/>
          <w:iCs/>
        </w:rPr>
      </w:pPr>
      <w:r w:rsidRPr="00DC4F35">
        <w:rPr>
          <w:rFonts w:cs="Calibri"/>
          <w:i/>
          <w:iCs/>
        </w:rPr>
        <w:t>“Supportydelser (Professional Services)</w:t>
      </w:r>
    </w:p>
    <w:p w14:paraId="677B159D" w14:textId="77777777" w:rsidR="0036440D" w:rsidRPr="00DC4F35" w:rsidRDefault="0036440D" w:rsidP="0036440D">
      <w:pPr>
        <w:rPr>
          <w:rFonts w:cstheme="minorHAnsi"/>
          <w:iCs/>
        </w:rPr>
      </w:pPr>
    </w:p>
    <w:p w14:paraId="08B722BB" w14:textId="27584B20" w:rsidR="00243843" w:rsidRPr="00DC4F35" w:rsidRDefault="0036440D" w:rsidP="0036440D">
      <w:pPr>
        <w:rPr>
          <w:rFonts w:cstheme="minorHAnsi"/>
          <w:iCs/>
        </w:rPr>
      </w:pPr>
      <w:r w:rsidRPr="00DC4F35">
        <w:rPr>
          <w:rFonts w:cstheme="minorHAnsi"/>
          <w:iCs/>
        </w:rPr>
        <w:lastRenderedPageBreak/>
        <w:t xml:space="preserve">Det er </w:t>
      </w:r>
      <w:r w:rsidR="001F1696" w:rsidRPr="00DC4F35">
        <w:rPr>
          <w:rFonts w:cstheme="minorHAnsi"/>
          <w:iCs/>
        </w:rPr>
        <w:t xml:space="preserve">Statens </w:t>
      </w:r>
      <w:proofErr w:type="spellStart"/>
      <w:r w:rsidR="001F1696" w:rsidRPr="00DC4F35">
        <w:rPr>
          <w:rFonts w:cstheme="minorHAnsi"/>
          <w:iCs/>
        </w:rPr>
        <w:t>It’s</w:t>
      </w:r>
      <w:proofErr w:type="spellEnd"/>
      <w:r w:rsidR="00A2682B" w:rsidRPr="00DC4F35">
        <w:rPr>
          <w:rFonts w:cstheme="minorHAnsi"/>
          <w:iCs/>
        </w:rPr>
        <w:t xml:space="preserve"> og </w:t>
      </w:r>
      <w:r w:rsidR="001F1696" w:rsidRPr="00DC4F35">
        <w:rPr>
          <w:rFonts w:cstheme="minorHAnsi"/>
          <w:iCs/>
        </w:rPr>
        <w:t>Økonomistyrelsens</w:t>
      </w:r>
      <w:r w:rsidRPr="00DC4F35">
        <w:rPr>
          <w:rFonts w:cstheme="minorHAnsi"/>
          <w:iCs/>
        </w:rPr>
        <w:t xml:space="preserve"> vurdering, at ID-oplysninger</w:t>
      </w:r>
      <w:r w:rsidR="008C61A0" w:rsidRPr="00DC4F35">
        <w:rPr>
          <w:rFonts w:cstheme="minorHAnsi"/>
          <w:iCs/>
        </w:rPr>
        <w:t xml:space="preserve"> i stort omfang må anses for at</w:t>
      </w:r>
      <w:r w:rsidRPr="00DC4F35">
        <w:rPr>
          <w:rFonts w:cstheme="minorHAnsi"/>
          <w:iCs/>
        </w:rPr>
        <w:t xml:space="preserve"> udgør</w:t>
      </w:r>
      <w:r w:rsidR="008C61A0" w:rsidRPr="00DC4F35">
        <w:rPr>
          <w:rFonts w:cstheme="minorHAnsi"/>
          <w:iCs/>
        </w:rPr>
        <w:t>e</w:t>
      </w:r>
      <w:r w:rsidRPr="00DC4F35">
        <w:rPr>
          <w:rFonts w:cstheme="minorHAnsi"/>
          <w:iCs/>
        </w:rPr>
        <w:t xml:space="preserve"> oplysninger, som </w:t>
      </w:r>
      <w:r w:rsidR="00255B0F" w:rsidRPr="00DC4F35">
        <w:rPr>
          <w:rFonts w:cstheme="minorHAnsi"/>
          <w:iCs/>
        </w:rPr>
        <w:t xml:space="preserve">må betragtes som </w:t>
      </w:r>
      <w:r w:rsidRPr="00DC4F35">
        <w:rPr>
          <w:rFonts w:cstheme="minorHAnsi"/>
          <w:iCs/>
        </w:rPr>
        <w:t>beregnet til at være offentligt tilgængelige. Disse oplysninger må således i vid udstrækning kunne sidestilles med oplysninger, som almindeligvis vil være offentlig</w:t>
      </w:r>
      <w:r w:rsidR="00E179A3" w:rsidRPr="00DC4F35">
        <w:rPr>
          <w:rFonts w:cstheme="minorHAnsi"/>
          <w:iCs/>
        </w:rPr>
        <w:t>t</w:t>
      </w:r>
      <w:r w:rsidR="005B0A5F" w:rsidRPr="00DC4F35">
        <w:rPr>
          <w:rFonts w:cstheme="minorHAnsi"/>
          <w:iCs/>
        </w:rPr>
        <w:t>,</w:t>
      </w:r>
      <w:r w:rsidR="00C114B3" w:rsidRPr="00DC4F35">
        <w:rPr>
          <w:rFonts w:cstheme="minorHAnsi"/>
          <w:iCs/>
        </w:rPr>
        <w:t xml:space="preserve"> frit</w:t>
      </w:r>
      <w:r w:rsidRPr="00DC4F35">
        <w:rPr>
          <w:rFonts w:cstheme="minorHAnsi"/>
          <w:iCs/>
        </w:rPr>
        <w:t xml:space="preserve"> tilgængelige via internettet, herunder via sociale medier som LinkedIn og myndigheders hjemmesider i medarbejderoversigter mv.</w:t>
      </w:r>
      <w:r w:rsidR="009A0D23" w:rsidRPr="00DC4F35">
        <w:rPr>
          <w:rFonts w:cstheme="minorHAnsi"/>
          <w:iCs/>
        </w:rPr>
        <w:t xml:space="preserve"> </w:t>
      </w:r>
    </w:p>
    <w:p w14:paraId="70103FFE" w14:textId="77777777" w:rsidR="00243843" w:rsidRPr="00DC4F35" w:rsidRDefault="00243843" w:rsidP="0036440D">
      <w:pPr>
        <w:rPr>
          <w:rFonts w:cstheme="minorHAnsi"/>
          <w:iCs/>
        </w:rPr>
      </w:pPr>
    </w:p>
    <w:p w14:paraId="4B689EC4" w14:textId="00BE06EB" w:rsidR="0036440D" w:rsidRPr="00DC4F35" w:rsidRDefault="0036440D" w:rsidP="0036440D">
      <w:pPr>
        <w:rPr>
          <w:rFonts w:cstheme="minorHAnsi"/>
        </w:rPr>
      </w:pPr>
      <w:r w:rsidRPr="00DC4F35">
        <w:rPr>
          <w:rFonts w:cstheme="minorHAnsi"/>
        </w:rPr>
        <w:t xml:space="preserve">Det er </w:t>
      </w:r>
      <w:r w:rsidR="009A0D23" w:rsidRPr="00DC4F35">
        <w:rPr>
          <w:rFonts w:cstheme="minorHAnsi"/>
        </w:rPr>
        <w:t xml:space="preserve">således </w:t>
      </w:r>
      <w:r w:rsidR="00682087" w:rsidRPr="00DC4F35">
        <w:rPr>
          <w:rFonts w:cstheme="minorHAnsi"/>
        </w:rPr>
        <w:t xml:space="preserve">Statens </w:t>
      </w:r>
      <w:proofErr w:type="spellStart"/>
      <w:r w:rsidR="00682087" w:rsidRPr="00DC4F35">
        <w:rPr>
          <w:rFonts w:cstheme="minorHAnsi"/>
        </w:rPr>
        <w:t>It’s</w:t>
      </w:r>
      <w:proofErr w:type="spellEnd"/>
      <w:r w:rsidR="004F675B" w:rsidRPr="00DC4F35">
        <w:rPr>
          <w:rFonts w:cstheme="minorHAnsi"/>
        </w:rPr>
        <w:t xml:space="preserve"> og Ø</w:t>
      </w:r>
      <w:r w:rsidR="00682087" w:rsidRPr="00DC4F35">
        <w:rPr>
          <w:rFonts w:cstheme="minorHAnsi"/>
        </w:rPr>
        <w:t>konomistyrelsens</w:t>
      </w:r>
      <w:r w:rsidRPr="00DC4F35">
        <w:rPr>
          <w:rFonts w:cstheme="minorHAnsi"/>
        </w:rPr>
        <w:t xml:space="preserve"> vurdering, at det i denne sammenhæng </w:t>
      </w:r>
      <w:r w:rsidR="00243843" w:rsidRPr="00DC4F35">
        <w:rPr>
          <w:rFonts w:cstheme="minorHAnsi"/>
        </w:rPr>
        <w:t>næppe</w:t>
      </w:r>
      <w:r w:rsidRPr="00DC4F35">
        <w:rPr>
          <w:rFonts w:cstheme="minorHAnsi"/>
        </w:rPr>
        <w:t xml:space="preserve"> kan være afgørende, om oplysningerne rent faktisk er offentliggjort</w:t>
      </w:r>
      <w:r w:rsidR="00F4432F" w:rsidRPr="00DC4F35">
        <w:rPr>
          <w:rFonts w:cstheme="minorHAnsi"/>
        </w:rPr>
        <w:t>.</w:t>
      </w:r>
    </w:p>
    <w:p w14:paraId="079FAC4F" w14:textId="77777777" w:rsidR="0036440D" w:rsidRPr="00DC4F35" w:rsidRDefault="0036440D" w:rsidP="0036440D">
      <w:pPr>
        <w:rPr>
          <w:rStyle w:val="cf01"/>
          <w:rFonts w:cstheme="minorHAnsi"/>
        </w:rPr>
      </w:pPr>
    </w:p>
    <w:p w14:paraId="13A203C8" w14:textId="19842A24" w:rsidR="0036440D" w:rsidRPr="00DC4F35" w:rsidRDefault="00141A18" w:rsidP="0036440D">
      <w:pPr>
        <w:rPr>
          <w:rFonts w:cstheme="minorHAnsi"/>
          <w:iCs/>
        </w:rPr>
      </w:pPr>
      <w:r w:rsidRPr="00DC4F35">
        <w:rPr>
          <w:rFonts w:cstheme="minorHAnsi"/>
        </w:rPr>
        <w:t>Statens It og Økonomistyrelsen</w:t>
      </w:r>
      <w:r w:rsidR="004F675B" w:rsidRPr="00DC4F35">
        <w:rPr>
          <w:rFonts w:cstheme="minorHAnsi"/>
        </w:rPr>
        <w:t xml:space="preserve"> </w:t>
      </w:r>
      <w:r w:rsidR="0036440D" w:rsidRPr="00DC4F35">
        <w:rPr>
          <w:rFonts w:cstheme="minorHAnsi"/>
          <w:iCs/>
        </w:rPr>
        <w:t>vurderer, at</w:t>
      </w:r>
      <w:r w:rsidR="00DC1F1F" w:rsidRPr="00DC4F35">
        <w:rPr>
          <w:rFonts w:cstheme="minorHAnsi"/>
          <w:iCs/>
        </w:rPr>
        <w:t xml:space="preserve"> der herefter </w:t>
      </w:r>
      <w:r w:rsidR="00563401" w:rsidRPr="00DC4F35">
        <w:rPr>
          <w:rFonts w:cstheme="minorHAnsi"/>
          <w:iCs/>
        </w:rPr>
        <w:t>i sagens natur må være tale om, at d</w:t>
      </w:r>
      <w:r w:rsidR="0036440D" w:rsidRPr="00DC4F35">
        <w:rPr>
          <w:rFonts w:cstheme="minorHAnsi"/>
          <w:iCs/>
        </w:rPr>
        <w:t xml:space="preserve">er </w:t>
      </w:r>
      <w:r w:rsidR="00563401" w:rsidRPr="00DC4F35">
        <w:rPr>
          <w:rFonts w:cstheme="minorHAnsi"/>
          <w:iCs/>
        </w:rPr>
        <w:t xml:space="preserve">er </w:t>
      </w:r>
      <w:r w:rsidR="0036440D" w:rsidRPr="00DC4F35">
        <w:rPr>
          <w:rFonts w:cstheme="minorHAnsi"/>
          <w:iCs/>
        </w:rPr>
        <w:t>etableret et tilstrækkeligt beskyttelsesniveau</w:t>
      </w:r>
      <w:r w:rsidR="00E179A3" w:rsidRPr="00DC4F35">
        <w:rPr>
          <w:rFonts w:cstheme="minorHAnsi"/>
          <w:iCs/>
        </w:rPr>
        <w:t>,</w:t>
      </w:r>
      <w:r w:rsidR="0036440D" w:rsidRPr="00DC4F35">
        <w:rPr>
          <w:rFonts w:cstheme="minorHAnsi"/>
          <w:iCs/>
        </w:rPr>
        <w:t xml:space="preserve"> for så vidt angår overførsel af </w:t>
      </w:r>
      <w:r w:rsidR="00563401" w:rsidRPr="00DC4F35">
        <w:rPr>
          <w:rFonts w:cstheme="minorHAnsi"/>
          <w:iCs/>
        </w:rPr>
        <w:t>disse oplysninger</w:t>
      </w:r>
      <w:r w:rsidR="0036440D" w:rsidRPr="00DC4F35">
        <w:rPr>
          <w:rFonts w:cstheme="minorHAnsi"/>
          <w:iCs/>
        </w:rPr>
        <w:t>.</w:t>
      </w:r>
      <w:r w:rsidR="00563401" w:rsidRPr="00DC4F35">
        <w:rPr>
          <w:rStyle w:val="Fodnotehenvisning"/>
          <w:rFonts w:cstheme="minorHAnsi"/>
          <w:iCs/>
        </w:rPr>
        <w:footnoteReference w:id="44"/>
      </w:r>
      <w:r w:rsidR="0036440D" w:rsidRPr="00DC4F35">
        <w:rPr>
          <w:rFonts w:cstheme="minorHAnsi"/>
          <w:iCs/>
        </w:rPr>
        <w:t xml:space="preserve"> </w:t>
      </w:r>
    </w:p>
    <w:p w14:paraId="27E8B19B" w14:textId="77777777" w:rsidR="003F7734" w:rsidRPr="00DC4F35" w:rsidRDefault="003F7734" w:rsidP="0036440D">
      <w:pPr>
        <w:rPr>
          <w:rFonts w:cstheme="minorHAnsi"/>
          <w:iCs/>
        </w:rPr>
      </w:pPr>
    </w:p>
    <w:p w14:paraId="00636D8B" w14:textId="48BA56C8" w:rsidR="003F7734" w:rsidRPr="00DC4F35" w:rsidRDefault="00A65A29" w:rsidP="0036440D">
      <w:pPr>
        <w:rPr>
          <w:rFonts w:cstheme="minorHAnsi"/>
          <w:iCs/>
        </w:rPr>
      </w:pPr>
      <w:r w:rsidRPr="00DC4F35">
        <w:rPr>
          <w:rFonts w:cstheme="minorHAnsi"/>
          <w:iCs/>
        </w:rPr>
        <w:t xml:space="preserve">Såfremt oplysningerne helt/delvist ikke kan anses for offentliggjort eller bestemt til offentliggørelse, er det Økonomistyrelsens og Statens </w:t>
      </w:r>
      <w:proofErr w:type="spellStart"/>
      <w:r w:rsidRPr="00DC4F35">
        <w:rPr>
          <w:rFonts w:cstheme="minorHAnsi"/>
          <w:iCs/>
        </w:rPr>
        <w:t>It’s</w:t>
      </w:r>
      <w:proofErr w:type="spellEnd"/>
      <w:r w:rsidRPr="00DC4F35">
        <w:rPr>
          <w:rFonts w:cstheme="minorHAnsi"/>
          <w:iCs/>
        </w:rPr>
        <w:t xml:space="preserve"> vurdering, at sandsynligheden og konsekvensen for de registrerede kan fastsættes som følger under hensyntagen til oplysningernes og overførslernes karakter: </w:t>
      </w:r>
    </w:p>
    <w:p w14:paraId="568F5A86" w14:textId="77777777" w:rsidR="00B20783" w:rsidRPr="00DC4F35" w:rsidRDefault="00B20783" w:rsidP="0036440D">
      <w:pPr>
        <w:rPr>
          <w:rFonts w:cstheme="minorHAnsi"/>
          <w:iCs/>
        </w:rPr>
      </w:pPr>
    </w:p>
    <w:p w14:paraId="4A820A77" w14:textId="0CC7EB60" w:rsidR="00B20783" w:rsidRPr="00DC4F35" w:rsidRDefault="00424AA8" w:rsidP="0036440D">
      <w:pPr>
        <w:rPr>
          <w:rFonts w:cstheme="minorHAnsi"/>
          <w:i/>
        </w:rPr>
      </w:pPr>
      <w:r w:rsidRPr="00DC4F35">
        <w:rPr>
          <w:rFonts w:cstheme="minorHAnsi"/>
          <w:i/>
        </w:rPr>
        <w:t xml:space="preserve">Figur </w:t>
      </w:r>
      <w:r w:rsidR="00426F10" w:rsidRPr="00DC4F35">
        <w:rPr>
          <w:rFonts w:cstheme="minorHAnsi"/>
          <w:i/>
        </w:rPr>
        <w:t>6</w:t>
      </w:r>
      <w:r w:rsidRPr="00DC4F35">
        <w:rPr>
          <w:rFonts w:cstheme="minorHAnsi"/>
          <w:i/>
        </w:rPr>
        <w:t>. Risikobillede efter mitigerende foranstaltninger – ID-oplysninger</w:t>
      </w:r>
    </w:p>
    <w:p w14:paraId="4977C228" w14:textId="4A418664" w:rsidR="0036440D" w:rsidRPr="00DC4F35" w:rsidRDefault="0036440D" w:rsidP="0036440D">
      <w:pPr>
        <w:rPr>
          <w:lang w:eastAsia="da-DK"/>
        </w:rPr>
      </w:pPr>
    </w:p>
    <w:p w14:paraId="6DF45A81" w14:textId="155E3458" w:rsidR="00426F10" w:rsidRDefault="00B56132" w:rsidP="0036440D">
      <w:pPr>
        <w:rPr>
          <w:lang w:eastAsia="da-DK"/>
        </w:rPr>
      </w:pPr>
      <w:r>
        <w:rPr>
          <w:noProof/>
          <w:lang w:eastAsia="da-DK"/>
        </w:rPr>
        <w:drawing>
          <wp:inline distT="0" distB="0" distL="0" distR="0" wp14:anchorId="5A0ADE85" wp14:editId="2DC15A72">
            <wp:extent cx="4674412" cy="2291616"/>
            <wp:effectExtent l="0" t="0" r="0" b="0"/>
            <wp:docPr id="460617523"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617523" name="Billede 1" descr="Et billede, der indeholder tekst, skærmbillede, Font/skrifttype, nummer/tal&#10;&#10;Automatisk genereret beskrivelse"/>
                    <pic:cNvPicPr/>
                  </pic:nvPicPr>
                  <pic:blipFill>
                    <a:blip r:embed="rId16"/>
                    <a:stretch>
                      <a:fillRect/>
                    </a:stretch>
                  </pic:blipFill>
                  <pic:spPr>
                    <a:xfrm>
                      <a:off x="0" y="0"/>
                      <a:ext cx="4697314" cy="2302844"/>
                    </a:xfrm>
                    <a:prstGeom prst="rect">
                      <a:avLst/>
                    </a:prstGeom>
                  </pic:spPr>
                </pic:pic>
              </a:graphicData>
            </a:graphic>
          </wp:inline>
        </w:drawing>
      </w:r>
    </w:p>
    <w:p w14:paraId="738607D0" w14:textId="77777777" w:rsidR="004E5093" w:rsidRPr="00DC4F35" w:rsidRDefault="004E5093" w:rsidP="0036440D">
      <w:pPr>
        <w:rPr>
          <w:lang w:eastAsia="da-DK"/>
        </w:rPr>
      </w:pPr>
    </w:p>
    <w:p w14:paraId="126062B5" w14:textId="0CC5CCDB" w:rsidR="0036440D" w:rsidRPr="00DC4F35" w:rsidRDefault="001F7215" w:rsidP="0036440D">
      <w:pPr>
        <w:pStyle w:val="Overskrift4"/>
      </w:pPr>
      <w:proofErr w:type="spellStart"/>
      <w:r w:rsidRPr="00DC4F35">
        <w:t>Pseudonymiserede</w:t>
      </w:r>
      <w:proofErr w:type="spellEnd"/>
      <w:r w:rsidRPr="00DC4F35">
        <w:t xml:space="preserve"> b</w:t>
      </w:r>
      <w:r w:rsidR="0036440D" w:rsidRPr="00DC4F35">
        <w:t xml:space="preserve">rugs-/logoplysninger </w:t>
      </w:r>
    </w:p>
    <w:p w14:paraId="16B77BFE" w14:textId="31FB7E9E" w:rsidR="0036440D" w:rsidRPr="00DC4F35" w:rsidRDefault="0036440D" w:rsidP="0036440D">
      <w:pPr>
        <w:rPr>
          <w:rFonts w:cstheme="minorHAnsi"/>
          <w:iCs/>
        </w:rPr>
      </w:pPr>
      <w:r w:rsidRPr="00DC4F35">
        <w:rPr>
          <w:rFonts w:cstheme="minorHAnsi"/>
          <w:iCs/>
        </w:rPr>
        <w:t>Brugs-/logoplysninger</w:t>
      </w:r>
      <w:r w:rsidR="001F7215" w:rsidRPr="00DC4F35">
        <w:rPr>
          <w:rFonts w:cstheme="minorHAnsi"/>
          <w:iCs/>
        </w:rPr>
        <w:t xml:space="preserve"> i System-</w:t>
      </w:r>
      <w:proofErr w:type="spellStart"/>
      <w:r w:rsidR="001F7215" w:rsidRPr="00DC4F35">
        <w:rPr>
          <w:rFonts w:cstheme="minorHAnsi"/>
          <w:iCs/>
        </w:rPr>
        <w:t>Generated</w:t>
      </w:r>
      <w:proofErr w:type="spellEnd"/>
      <w:r w:rsidR="001F7215" w:rsidRPr="00DC4F35">
        <w:rPr>
          <w:rFonts w:cstheme="minorHAnsi"/>
          <w:iCs/>
        </w:rPr>
        <w:t xml:space="preserve"> Logs og </w:t>
      </w:r>
      <w:proofErr w:type="spellStart"/>
      <w:r w:rsidR="001F7215" w:rsidRPr="00DC4F35">
        <w:rPr>
          <w:rFonts w:cstheme="minorHAnsi"/>
          <w:iCs/>
        </w:rPr>
        <w:t>Diagnostic</w:t>
      </w:r>
      <w:proofErr w:type="spellEnd"/>
      <w:r w:rsidR="001F7215" w:rsidRPr="00DC4F35">
        <w:rPr>
          <w:rFonts w:cstheme="minorHAnsi"/>
          <w:iCs/>
        </w:rPr>
        <w:t xml:space="preserve"> Data</w:t>
      </w:r>
      <w:r w:rsidRPr="00DC4F35">
        <w:rPr>
          <w:rFonts w:cstheme="minorHAnsi"/>
          <w:iCs/>
        </w:rPr>
        <w:t xml:space="preserve"> overføres </w:t>
      </w:r>
      <w:r w:rsidR="001F7215" w:rsidRPr="00DC4F35">
        <w:rPr>
          <w:rFonts w:cstheme="minorHAnsi"/>
          <w:iCs/>
        </w:rPr>
        <w:t xml:space="preserve">ligeledes </w:t>
      </w:r>
      <w:r w:rsidRPr="00DC4F35">
        <w:rPr>
          <w:rFonts w:cstheme="minorHAnsi"/>
          <w:iCs/>
        </w:rPr>
        <w:t xml:space="preserve">i de begrænsede tilfælde, hvor der gælder undtagelser til EU Data </w:t>
      </w:r>
      <w:proofErr w:type="spellStart"/>
      <w:r w:rsidRPr="00DC4F35">
        <w:rPr>
          <w:rFonts w:cstheme="minorHAnsi"/>
          <w:iCs/>
        </w:rPr>
        <w:t>Boundary</w:t>
      </w:r>
      <w:proofErr w:type="spellEnd"/>
      <w:r w:rsidRPr="00DC4F35">
        <w:rPr>
          <w:rFonts w:cstheme="minorHAnsi"/>
          <w:iCs/>
        </w:rPr>
        <w:t xml:space="preserve">. </w:t>
      </w:r>
    </w:p>
    <w:p w14:paraId="181C88A2" w14:textId="77777777" w:rsidR="0036440D" w:rsidRPr="00DC4F35" w:rsidRDefault="0036440D" w:rsidP="0036440D">
      <w:pPr>
        <w:rPr>
          <w:rFonts w:cstheme="minorHAnsi"/>
          <w:iCs/>
        </w:rPr>
      </w:pPr>
    </w:p>
    <w:p w14:paraId="19B25BA9" w14:textId="51401C61" w:rsidR="0036440D" w:rsidRPr="00DC4F35" w:rsidRDefault="0036440D" w:rsidP="0036440D">
      <w:pPr>
        <w:rPr>
          <w:rFonts w:cstheme="minorHAnsi"/>
          <w:iCs/>
        </w:rPr>
      </w:pPr>
      <w:r w:rsidRPr="00DC4F35">
        <w:rPr>
          <w:rFonts w:cstheme="minorHAnsi"/>
          <w:iCs/>
        </w:rPr>
        <w:t xml:space="preserve">Oplysningerne overføres kontinuerligt i forbindelse med følgende tilfælde: </w:t>
      </w:r>
    </w:p>
    <w:p w14:paraId="6A732DB2" w14:textId="77777777" w:rsidR="0036440D" w:rsidRPr="00DC4F35" w:rsidRDefault="0036440D" w:rsidP="0036440D">
      <w:pPr>
        <w:rPr>
          <w:rFonts w:cstheme="minorHAnsi"/>
          <w:iCs/>
        </w:rPr>
      </w:pPr>
    </w:p>
    <w:p w14:paraId="5FACF48E" w14:textId="694E4873" w:rsidR="0036440D" w:rsidRPr="00DC4F35" w:rsidRDefault="0036440D" w:rsidP="009963C6">
      <w:pPr>
        <w:pStyle w:val="Listeafsnit"/>
        <w:numPr>
          <w:ilvl w:val="0"/>
          <w:numId w:val="29"/>
        </w:numPr>
        <w:rPr>
          <w:rFonts w:cstheme="minorHAnsi"/>
          <w:iCs/>
        </w:rPr>
      </w:pPr>
      <w:r w:rsidRPr="00DC4F35">
        <w:rPr>
          <w:rFonts w:cs="Calibri"/>
          <w:i/>
          <w:iCs/>
        </w:rPr>
        <w:t>“</w:t>
      </w:r>
      <w:proofErr w:type="spellStart"/>
      <w:r w:rsidR="001F7215" w:rsidRPr="00DC4F35">
        <w:rPr>
          <w:i/>
          <w:iCs/>
        </w:rPr>
        <w:t>P</w:t>
      </w:r>
      <w:r w:rsidR="001F7215" w:rsidRPr="00DC4F35">
        <w:rPr>
          <w:rFonts w:cs="Calibri"/>
          <w:i/>
          <w:iCs/>
        </w:rPr>
        <w:t>rotecting</w:t>
      </w:r>
      <w:proofErr w:type="spellEnd"/>
      <w:r w:rsidR="001F7215" w:rsidRPr="00DC4F35">
        <w:rPr>
          <w:rFonts w:cs="Calibri"/>
          <w:i/>
          <w:iCs/>
        </w:rPr>
        <w:t xml:space="preserve"> </w:t>
      </w:r>
      <w:proofErr w:type="spellStart"/>
      <w:r w:rsidR="001F7215" w:rsidRPr="00DC4F35">
        <w:rPr>
          <w:rFonts w:cs="Calibri"/>
          <w:i/>
          <w:iCs/>
        </w:rPr>
        <w:t>customers</w:t>
      </w:r>
      <w:proofErr w:type="spellEnd"/>
      <w:r w:rsidRPr="00DC4F35">
        <w:rPr>
          <w:rFonts w:cs="Calibri"/>
          <w:i/>
          <w:iCs/>
        </w:rPr>
        <w:t>”</w:t>
      </w:r>
    </w:p>
    <w:p w14:paraId="092EE533" w14:textId="77777777" w:rsidR="0036440D" w:rsidRPr="00DC4F35" w:rsidRDefault="0036440D" w:rsidP="0036440D">
      <w:pPr>
        <w:pStyle w:val="Listeafsnit"/>
      </w:pPr>
    </w:p>
    <w:p w14:paraId="671B816F" w14:textId="77777777" w:rsidR="0036440D" w:rsidRPr="00DC4F35" w:rsidRDefault="0036440D" w:rsidP="0036440D">
      <w:pPr>
        <w:rPr>
          <w:rFonts w:cstheme="minorHAnsi"/>
          <w:iCs/>
        </w:rPr>
      </w:pPr>
      <w:r w:rsidRPr="00DC4F35">
        <w:rPr>
          <w:rFonts w:cstheme="minorHAnsi"/>
          <w:iCs/>
        </w:rPr>
        <w:t>Oplysninger overføres potentielt/lejlighedsvist i forbindelse med følgende tilfælde:</w:t>
      </w:r>
    </w:p>
    <w:p w14:paraId="25416A19" w14:textId="77777777" w:rsidR="0036440D" w:rsidRPr="00DC4F35" w:rsidRDefault="0036440D" w:rsidP="0036440D">
      <w:pPr>
        <w:rPr>
          <w:rFonts w:cstheme="minorHAnsi"/>
          <w:iCs/>
        </w:rPr>
      </w:pPr>
    </w:p>
    <w:p w14:paraId="599014B3" w14:textId="010AF608" w:rsidR="0036440D" w:rsidRPr="00DC4F35" w:rsidRDefault="0036440D" w:rsidP="001F7215">
      <w:pPr>
        <w:pStyle w:val="Listeafsnit"/>
        <w:numPr>
          <w:ilvl w:val="0"/>
          <w:numId w:val="55"/>
        </w:numPr>
        <w:rPr>
          <w:rFonts w:cstheme="minorHAnsi"/>
          <w:iCs/>
        </w:rPr>
      </w:pPr>
      <w:r w:rsidRPr="00DC4F35">
        <w:rPr>
          <w:rFonts w:cs="Calibri"/>
          <w:i/>
          <w:iCs/>
        </w:rPr>
        <w:t>”</w:t>
      </w:r>
      <w:r w:rsidR="001F7215" w:rsidRPr="00DC4F35">
        <w:t xml:space="preserve"> </w:t>
      </w:r>
      <w:r w:rsidR="001F7215" w:rsidRPr="00DC4F35">
        <w:rPr>
          <w:i/>
          <w:iCs/>
        </w:rPr>
        <w:t>Overførsel med henblik på opretholdelse af services</w:t>
      </w:r>
      <w:r w:rsidR="001F7215" w:rsidRPr="00DC4F35">
        <w:t xml:space="preserve"> (</w:t>
      </w:r>
      <w:r w:rsidRPr="00DC4F35">
        <w:rPr>
          <w:rFonts w:cs="Calibri"/>
          <w:i/>
          <w:iCs/>
        </w:rPr>
        <w:t>Remote Access</w:t>
      </w:r>
      <w:r w:rsidR="001F7215" w:rsidRPr="00DC4F35">
        <w:rPr>
          <w:rFonts w:cs="Calibri"/>
          <w:i/>
          <w:iCs/>
        </w:rPr>
        <w:t>)</w:t>
      </w:r>
      <w:r w:rsidRPr="00DC4F35">
        <w:rPr>
          <w:rFonts w:cs="Calibri"/>
          <w:i/>
          <w:iCs/>
        </w:rPr>
        <w:t>”</w:t>
      </w:r>
    </w:p>
    <w:p w14:paraId="7D19973E" w14:textId="05856CFE" w:rsidR="0036440D" w:rsidRPr="00DC4F35" w:rsidRDefault="0036440D" w:rsidP="001F7215">
      <w:pPr>
        <w:pStyle w:val="Listeafsnit"/>
        <w:numPr>
          <w:ilvl w:val="0"/>
          <w:numId w:val="55"/>
        </w:numPr>
        <w:rPr>
          <w:rFonts w:cstheme="minorHAnsi"/>
          <w:iCs/>
        </w:rPr>
      </w:pPr>
      <w:r w:rsidRPr="00DC4F35">
        <w:rPr>
          <w:rFonts w:cs="Calibri"/>
          <w:i/>
          <w:iCs/>
        </w:rPr>
        <w:t>“</w:t>
      </w:r>
      <w:proofErr w:type="spellStart"/>
      <w:r w:rsidR="001F7215" w:rsidRPr="00DC4F35">
        <w:rPr>
          <w:rFonts w:cs="Calibri"/>
          <w:i/>
          <w:iCs/>
        </w:rPr>
        <w:t>Protecting</w:t>
      </w:r>
      <w:proofErr w:type="spellEnd"/>
      <w:r w:rsidR="001F7215" w:rsidRPr="00DC4F35">
        <w:rPr>
          <w:rFonts w:cs="Calibri"/>
          <w:i/>
          <w:iCs/>
        </w:rPr>
        <w:t xml:space="preserve"> </w:t>
      </w:r>
      <w:proofErr w:type="spellStart"/>
      <w:r w:rsidR="001F7215" w:rsidRPr="00DC4F35">
        <w:rPr>
          <w:rFonts w:cs="Calibri"/>
          <w:i/>
          <w:iCs/>
        </w:rPr>
        <w:t>customers</w:t>
      </w:r>
      <w:proofErr w:type="spellEnd"/>
      <w:r w:rsidRPr="00DC4F35">
        <w:rPr>
          <w:rFonts w:cs="Calibri"/>
          <w:i/>
          <w:iCs/>
        </w:rPr>
        <w:t>”</w:t>
      </w:r>
    </w:p>
    <w:p w14:paraId="12BDB640" w14:textId="679F3109" w:rsidR="005666AB" w:rsidRPr="00DC4F35" w:rsidRDefault="005666AB" w:rsidP="001F7215">
      <w:pPr>
        <w:pStyle w:val="Listeafsnit"/>
        <w:numPr>
          <w:ilvl w:val="0"/>
          <w:numId w:val="55"/>
        </w:numPr>
        <w:rPr>
          <w:rFonts w:cstheme="minorHAnsi"/>
          <w:iCs/>
        </w:rPr>
      </w:pPr>
      <w:r w:rsidRPr="00DC4F35">
        <w:rPr>
          <w:rFonts w:cs="Calibri"/>
          <w:i/>
          <w:iCs/>
        </w:rPr>
        <w:t>Supportydelser (Professional Services)</w:t>
      </w:r>
      <w:r w:rsidR="000D7190" w:rsidRPr="00DC4F35">
        <w:rPr>
          <w:rFonts w:cs="Calibri"/>
          <w:i/>
          <w:iCs/>
        </w:rPr>
        <w:t>.</w:t>
      </w:r>
    </w:p>
    <w:p w14:paraId="59CC2161" w14:textId="77777777" w:rsidR="0036440D" w:rsidRPr="00DC4F35" w:rsidRDefault="0036440D" w:rsidP="0036440D">
      <w:pPr>
        <w:rPr>
          <w:rFonts w:cstheme="minorHAnsi"/>
          <w:iCs/>
          <w:highlight w:val="yellow"/>
        </w:rPr>
      </w:pPr>
    </w:p>
    <w:p w14:paraId="787F372A" w14:textId="0E2567A9" w:rsidR="00FA10ED" w:rsidRPr="00DC4F35" w:rsidRDefault="00FA10ED" w:rsidP="00FA10ED">
      <w:r w:rsidRPr="00DC4F35">
        <w:rPr>
          <w:rFonts w:cstheme="minorHAnsi"/>
          <w:iCs/>
        </w:rPr>
        <w:t xml:space="preserve">Hvis overførslerne sker til </w:t>
      </w:r>
      <w:r w:rsidRPr="00DC4F35">
        <w:t>USA gennem Microsoft Corporation, er oplysningerne tilstrækkeligt beskyttet i henhold til EU-kommissionens tilstrækkelighedsafgørelse om EU-US-rammeværket. Der må endvidere anses for at være et etableret et tilstrækkeligt beskyttelsesniveau i forhold til overførsler til Microsofts underdatabehandlere etableret i USA, der ikke er certificeret efter EU-US-rammeværket, jf. herom ovenfor afsnit 5.3.</w:t>
      </w:r>
    </w:p>
    <w:p w14:paraId="6855DF10" w14:textId="43743381" w:rsidR="00FA10ED" w:rsidRPr="00DC4F35" w:rsidRDefault="00FA10ED" w:rsidP="0036440D">
      <w:pPr>
        <w:rPr>
          <w:rFonts w:cstheme="minorHAnsi"/>
          <w:iCs/>
          <w:highlight w:val="yellow"/>
        </w:rPr>
      </w:pPr>
    </w:p>
    <w:p w14:paraId="13ED865E" w14:textId="305882C8" w:rsidR="0036440D" w:rsidRPr="00DC4F35" w:rsidRDefault="00B96F83" w:rsidP="0036440D">
      <w:pPr>
        <w:rPr>
          <w:lang w:eastAsia="da-DK"/>
        </w:rPr>
      </w:pPr>
      <w:r w:rsidRPr="00DC4F35">
        <w:rPr>
          <w:rFonts w:cstheme="minorHAnsi"/>
          <w:iCs/>
        </w:rPr>
        <w:t xml:space="preserve">For så vidt angår (videre)overførsler til øvrige usikre tredjelande </w:t>
      </w:r>
      <w:r w:rsidR="00811A7C" w:rsidRPr="00DC4F35">
        <w:rPr>
          <w:rFonts w:cstheme="minorHAnsi"/>
          <w:iCs/>
        </w:rPr>
        <w:t>bemærker Statens It og Økonomistyrelsen</w:t>
      </w:r>
      <w:r w:rsidR="0036440D" w:rsidRPr="00DC4F35">
        <w:rPr>
          <w:lang w:eastAsia="da-DK"/>
        </w:rPr>
        <w:t>, at brugs-/logoplysninger er omfattet af Microsofts dat</w:t>
      </w:r>
      <w:r w:rsidR="00E969A8" w:rsidRPr="00DC4F35">
        <w:rPr>
          <w:lang w:eastAsia="da-DK"/>
        </w:rPr>
        <w:t>a</w:t>
      </w:r>
      <w:r w:rsidR="0036440D" w:rsidRPr="00DC4F35">
        <w:rPr>
          <w:lang w:eastAsia="da-DK"/>
        </w:rPr>
        <w:t>kategori ”</w:t>
      </w:r>
      <w:r w:rsidR="00E969A8" w:rsidRPr="00DC4F35">
        <w:rPr>
          <w:lang w:eastAsia="da-DK"/>
        </w:rPr>
        <w:t>S</w:t>
      </w:r>
      <w:r w:rsidR="0036440D" w:rsidRPr="00DC4F35">
        <w:rPr>
          <w:lang w:eastAsia="da-DK"/>
        </w:rPr>
        <w:t>ystem-</w:t>
      </w:r>
      <w:proofErr w:type="spellStart"/>
      <w:r w:rsidR="00E969A8" w:rsidRPr="00DC4F35">
        <w:rPr>
          <w:lang w:eastAsia="da-DK"/>
        </w:rPr>
        <w:t>G</w:t>
      </w:r>
      <w:r w:rsidR="0036440D" w:rsidRPr="00DC4F35">
        <w:rPr>
          <w:lang w:eastAsia="da-DK"/>
        </w:rPr>
        <w:t>enerated</w:t>
      </w:r>
      <w:proofErr w:type="spellEnd"/>
      <w:r w:rsidR="0036440D" w:rsidRPr="00DC4F35">
        <w:rPr>
          <w:lang w:eastAsia="da-DK"/>
        </w:rPr>
        <w:t xml:space="preserve"> </w:t>
      </w:r>
      <w:r w:rsidR="00E969A8" w:rsidRPr="00DC4F35">
        <w:rPr>
          <w:lang w:eastAsia="da-DK"/>
        </w:rPr>
        <w:t>L</w:t>
      </w:r>
      <w:r w:rsidR="0036440D" w:rsidRPr="00DC4F35">
        <w:rPr>
          <w:lang w:eastAsia="da-DK"/>
        </w:rPr>
        <w:t xml:space="preserve">ogs”, der ifølge Microsoft </w:t>
      </w:r>
      <w:proofErr w:type="spellStart"/>
      <w:r w:rsidR="0036440D" w:rsidRPr="00DC4F35">
        <w:rPr>
          <w:lang w:eastAsia="da-DK"/>
        </w:rPr>
        <w:t>pseudonymiseres</w:t>
      </w:r>
      <w:proofErr w:type="spellEnd"/>
      <w:r w:rsidR="0036440D" w:rsidRPr="00DC4F35">
        <w:rPr>
          <w:lang w:eastAsia="da-DK"/>
        </w:rPr>
        <w:t xml:space="preserve"> i forbindelse med genereringen eller automatisk efter genereringe</w:t>
      </w:r>
      <w:r w:rsidR="00E969A8" w:rsidRPr="00DC4F35">
        <w:rPr>
          <w:lang w:eastAsia="da-DK"/>
        </w:rPr>
        <w:t>n</w:t>
      </w:r>
      <w:r w:rsidR="0036440D" w:rsidRPr="00DC4F35">
        <w:rPr>
          <w:lang w:eastAsia="da-DK"/>
        </w:rPr>
        <w:t xml:space="preserve">. Dette betyder efter </w:t>
      </w:r>
      <w:r w:rsidR="00E969A8" w:rsidRPr="00DC4F35">
        <w:rPr>
          <w:lang w:eastAsia="da-DK"/>
        </w:rPr>
        <w:t>De Dataansvarliges</w:t>
      </w:r>
      <w:r w:rsidR="0036440D" w:rsidRPr="00DC4F35">
        <w:rPr>
          <w:lang w:eastAsia="da-DK"/>
        </w:rPr>
        <w:t xml:space="preserve"> opfattelse, at Microsofts underdatabehandlere alene vil få adgang til denne kategori af personoplysninger i </w:t>
      </w:r>
      <w:proofErr w:type="spellStart"/>
      <w:r w:rsidR="00E179A3" w:rsidRPr="00DC4F35">
        <w:rPr>
          <w:lang w:eastAsia="da-DK"/>
        </w:rPr>
        <w:t>pseudonymiseret</w:t>
      </w:r>
      <w:proofErr w:type="spellEnd"/>
      <w:r w:rsidR="0036440D" w:rsidRPr="00DC4F35">
        <w:rPr>
          <w:lang w:eastAsia="da-DK"/>
        </w:rPr>
        <w:t xml:space="preserve"> form. </w:t>
      </w:r>
    </w:p>
    <w:p w14:paraId="1A48765A" w14:textId="77777777" w:rsidR="0036440D" w:rsidRPr="00DC4F35" w:rsidRDefault="0036440D" w:rsidP="0036440D">
      <w:pPr>
        <w:rPr>
          <w:highlight w:val="yellow"/>
          <w:lang w:eastAsia="da-DK"/>
        </w:rPr>
      </w:pPr>
    </w:p>
    <w:p w14:paraId="09B4E5B0" w14:textId="6CD75E0F" w:rsidR="004B68B6" w:rsidRPr="00DC4F35" w:rsidRDefault="004B68B6" w:rsidP="00E969A8">
      <w:r w:rsidRPr="00DC4F35">
        <w:t xml:space="preserve">For så vidt angår konsekvensen for de registrerede, såfremt personoplysningerne </w:t>
      </w:r>
      <w:r w:rsidR="00B5424D" w:rsidRPr="00DC4F35">
        <w:t xml:space="preserve">udleveres til eller på anden måde bemægtiges af </w:t>
      </w:r>
      <w:r w:rsidR="00EA0C06" w:rsidRPr="00DC4F35">
        <w:t xml:space="preserve">myndigheder i </w:t>
      </w:r>
      <w:r w:rsidR="00933961" w:rsidRPr="00DC4F35">
        <w:t xml:space="preserve">øvrige usikre </w:t>
      </w:r>
      <w:r w:rsidR="00EA0C06" w:rsidRPr="00DC4F35">
        <w:t>tredjelande</w:t>
      </w:r>
      <w:r w:rsidR="007965F3" w:rsidRPr="00DC4F35">
        <w:t xml:space="preserve">, må der henses til, at </w:t>
      </w:r>
      <w:r w:rsidR="002E3D5D" w:rsidRPr="00DC4F35">
        <w:t xml:space="preserve">der er </w:t>
      </w:r>
      <w:r w:rsidR="00DA6FA2" w:rsidRPr="00DC4F35">
        <w:t>tale om</w:t>
      </w:r>
      <w:r w:rsidR="00225DA7" w:rsidRPr="00DC4F35">
        <w:t xml:space="preserve"> </w:t>
      </w:r>
      <w:proofErr w:type="spellStart"/>
      <w:r w:rsidR="00225DA7" w:rsidRPr="00DC4F35">
        <w:t>pseudonymiserede</w:t>
      </w:r>
      <w:proofErr w:type="spellEnd"/>
      <w:r w:rsidR="00DA6FA2" w:rsidRPr="00DC4F35">
        <w:t xml:space="preserve"> ikke-følsomme og ikke-fortrolige personoplysninger omfattet af databeskyttelsesforordningens artikel 6, som angår </w:t>
      </w:r>
      <w:r w:rsidR="00445000" w:rsidRPr="00DC4F35">
        <w:t>de registrerede</w:t>
      </w:r>
      <w:r w:rsidR="00A74ADC" w:rsidRPr="00DC4F35">
        <w:t>s</w:t>
      </w:r>
      <w:r w:rsidR="00445000" w:rsidRPr="00DC4F35">
        <w:t xml:space="preserve"> (ansattes) brug af</w:t>
      </w:r>
      <w:r w:rsidR="0033253B" w:rsidRPr="00DC4F35">
        <w:t xml:space="preserve"> og interaktion med</w:t>
      </w:r>
      <w:r w:rsidR="00445000" w:rsidRPr="00DC4F35">
        <w:t xml:space="preserve"> </w:t>
      </w:r>
      <w:r w:rsidR="00A74ADC" w:rsidRPr="00DC4F35">
        <w:t xml:space="preserve">tjenesterne og services. </w:t>
      </w:r>
      <w:r w:rsidR="00C35F6C" w:rsidRPr="00DC4F35">
        <w:t xml:space="preserve">Det er således henset til oplysningernes karakter Økonomistyrelsens og </w:t>
      </w:r>
      <w:r w:rsidR="00C1459D" w:rsidRPr="00DC4F35">
        <w:t xml:space="preserve">Statens </w:t>
      </w:r>
      <w:proofErr w:type="spellStart"/>
      <w:r w:rsidR="00C1459D" w:rsidRPr="00DC4F35">
        <w:t>It’s</w:t>
      </w:r>
      <w:proofErr w:type="spellEnd"/>
      <w:r w:rsidR="00C1459D" w:rsidRPr="00DC4F35">
        <w:t xml:space="preserve"> opfattelse, at konsekvenserne for de registrerede må vurderes til at være </w:t>
      </w:r>
      <w:r w:rsidR="003B71C2">
        <w:t>mindre alvorlige</w:t>
      </w:r>
      <w:r w:rsidR="003B71C2" w:rsidRPr="00DC4F35">
        <w:t xml:space="preserve"> </w:t>
      </w:r>
      <w:r w:rsidR="00A55B0D" w:rsidRPr="00DC4F35">
        <w:t>(</w:t>
      </w:r>
      <w:r w:rsidR="003B71C2">
        <w:t>2</w:t>
      </w:r>
      <w:r w:rsidR="00A55B0D" w:rsidRPr="00DC4F35">
        <w:t>)</w:t>
      </w:r>
      <w:r w:rsidR="008B338D" w:rsidRPr="00DC4F35">
        <w:t xml:space="preserve"> eller i værste fald meget </w:t>
      </w:r>
      <w:r w:rsidR="003B71C2">
        <w:t>alvorlige</w:t>
      </w:r>
      <w:r w:rsidR="003B71C2" w:rsidRPr="00DC4F35">
        <w:t xml:space="preserve"> </w:t>
      </w:r>
      <w:r w:rsidR="008B338D" w:rsidRPr="00DC4F35">
        <w:t>(</w:t>
      </w:r>
      <w:r w:rsidR="003B71C2">
        <w:t>3</w:t>
      </w:r>
      <w:r w:rsidR="008B338D" w:rsidRPr="00DC4F35">
        <w:t>) forstået som frygt for, hvad oplysningerne kan bruges til</w:t>
      </w:r>
      <w:r w:rsidR="009B5B60" w:rsidRPr="00DC4F35">
        <w:t xml:space="preserve"> (tab af kontrol)</w:t>
      </w:r>
      <w:r w:rsidR="00A55B0D" w:rsidRPr="00DC4F35">
        <w:t xml:space="preserve">. </w:t>
      </w:r>
    </w:p>
    <w:p w14:paraId="1C39EAC3" w14:textId="77777777" w:rsidR="002E3D5D" w:rsidRPr="00DC4F35" w:rsidRDefault="002E3D5D" w:rsidP="00E969A8"/>
    <w:p w14:paraId="56A2553A" w14:textId="7FA7A328" w:rsidR="00CC5082" w:rsidRPr="00DC4F35" w:rsidRDefault="002E3D5D" w:rsidP="00FC7CF0">
      <w:pPr>
        <w:rPr>
          <w:lang w:eastAsia="da-DK"/>
        </w:rPr>
      </w:pPr>
      <w:r w:rsidRPr="00DC4F35">
        <w:t xml:space="preserve">For så vidt angår sandsynligheden </w:t>
      </w:r>
      <w:r w:rsidR="00F03CB1" w:rsidRPr="00DC4F35">
        <w:t xml:space="preserve">vurderes denne til at være </w:t>
      </w:r>
      <w:r w:rsidR="00065810" w:rsidRPr="00DC4F35">
        <w:t>usandsynligt (</w:t>
      </w:r>
      <w:r w:rsidR="003B71C2">
        <w:t>1</w:t>
      </w:r>
      <w:r w:rsidR="00065810" w:rsidRPr="00DC4F35">
        <w:t>).</w:t>
      </w:r>
      <w:r w:rsidR="005D6E33" w:rsidRPr="00DC4F35">
        <w:t xml:space="preserve"> </w:t>
      </w:r>
      <w:r w:rsidR="00856B6B" w:rsidRPr="00DC4F35">
        <w:t xml:space="preserve">Der må herved lægges vægt på, at </w:t>
      </w:r>
      <w:r w:rsidR="00856B6B" w:rsidRPr="00DC4F35">
        <w:rPr>
          <w:rFonts w:cstheme="minorHAnsi"/>
          <w:iCs/>
        </w:rPr>
        <w:t xml:space="preserve">brugs-/logoplysninger alene overføres i </w:t>
      </w:r>
      <w:proofErr w:type="spellStart"/>
      <w:r w:rsidR="00856B6B" w:rsidRPr="00DC4F35">
        <w:rPr>
          <w:rFonts w:cstheme="minorHAnsi"/>
          <w:iCs/>
        </w:rPr>
        <w:t>pseudonymiseret</w:t>
      </w:r>
      <w:proofErr w:type="spellEnd"/>
      <w:r w:rsidR="00856B6B" w:rsidRPr="00DC4F35">
        <w:rPr>
          <w:rFonts w:cstheme="minorHAnsi"/>
          <w:iCs/>
        </w:rPr>
        <w:t xml:space="preserve"> form</w:t>
      </w:r>
      <w:r w:rsidR="00C151A3" w:rsidRPr="00DC4F35">
        <w:rPr>
          <w:rFonts w:cstheme="minorHAnsi"/>
          <w:iCs/>
        </w:rPr>
        <w:t>. S</w:t>
      </w:r>
      <w:r w:rsidR="00856B6B" w:rsidRPr="00DC4F35">
        <w:rPr>
          <w:rFonts w:cstheme="minorHAnsi"/>
          <w:iCs/>
        </w:rPr>
        <w:t>elvom Microsoft</w:t>
      </w:r>
      <w:r w:rsidR="00C151A3" w:rsidRPr="00DC4F35">
        <w:rPr>
          <w:rFonts w:cstheme="minorHAnsi"/>
          <w:iCs/>
        </w:rPr>
        <w:t xml:space="preserve"> </w:t>
      </w:r>
      <w:r w:rsidR="00856B6B" w:rsidRPr="00DC4F35">
        <w:rPr>
          <w:rFonts w:cstheme="minorHAnsi"/>
          <w:iCs/>
        </w:rPr>
        <w:t xml:space="preserve">har </w:t>
      </w:r>
      <w:proofErr w:type="spellStart"/>
      <w:r w:rsidR="00856B6B" w:rsidRPr="00DC4F35">
        <w:rPr>
          <w:rFonts w:cstheme="minorHAnsi"/>
          <w:iCs/>
        </w:rPr>
        <w:t>pseudonymiseringsnøglen</w:t>
      </w:r>
      <w:proofErr w:type="spellEnd"/>
      <w:r w:rsidR="00856B6B" w:rsidRPr="00DC4F35">
        <w:rPr>
          <w:rFonts w:cstheme="minorHAnsi"/>
          <w:iCs/>
        </w:rPr>
        <w:t xml:space="preserve"> i EU/EØS og dermed ensidigt kan ophæve </w:t>
      </w:r>
      <w:proofErr w:type="spellStart"/>
      <w:r w:rsidR="00856B6B" w:rsidRPr="00DC4F35">
        <w:rPr>
          <w:rFonts w:cstheme="minorHAnsi"/>
          <w:iCs/>
        </w:rPr>
        <w:t>pseudonymiseringen</w:t>
      </w:r>
      <w:proofErr w:type="spellEnd"/>
      <w:r w:rsidR="00856B6B" w:rsidRPr="00DC4F35">
        <w:rPr>
          <w:rFonts w:cstheme="minorHAnsi"/>
          <w:iCs/>
        </w:rPr>
        <w:t xml:space="preserve">, så kræver </w:t>
      </w:r>
      <w:r w:rsidR="00E85C23" w:rsidRPr="00DC4F35">
        <w:rPr>
          <w:rFonts w:cstheme="minorHAnsi"/>
          <w:iCs/>
        </w:rPr>
        <w:t>læsningen af personoplysningerne i klar tekst</w:t>
      </w:r>
      <w:r w:rsidR="00856B6B" w:rsidRPr="00DC4F35">
        <w:rPr>
          <w:rFonts w:cstheme="minorHAnsi"/>
          <w:iCs/>
        </w:rPr>
        <w:t xml:space="preserve"> samtidig, at den pågældende underdatabehandler selv har adgang til </w:t>
      </w:r>
      <w:r w:rsidR="00C8591B" w:rsidRPr="00DC4F35">
        <w:rPr>
          <w:rFonts w:cstheme="minorHAnsi"/>
          <w:iCs/>
        </w:rPr>
        <w:t xml:space="preserve">at bryde </w:t>
      </w:r>
      <w:proofErr w:type="spellStart"/>
      <w:r w:rsidR="00C8591B" w:rsidRPr="00DC4F35">
        <w:rPr>
          <w:rFonts w:cstheme="minorHAnsi"/>
          <w:iCs/>
        </w:rPr>
        <w:t>pseudonymiseringen</w:t>
      </w:r>
      <w:proofErr w:type="spellEnd"/>
      <w:r w:rsidR="00C8591B" w:rsidRPr="00DC4F35">
        <w:rPr>
          <w:rFonts w:cstheme="minorHAnsi"/>
          <w:iCs/>
        </w:rPr>
        <w:t xml:space="preserve"> </w:t>
      </w:r>
      <w:r w:rsidR="00856B6B" w:rsidRPr="00DC4F35">
        <w:rPr>
          <w:rFonts w:cstheme="minorHAnsi"/>
          <w:iCs/>
        </w:rPr>
        <w:t xml:space="preserve">på det pågældende tidspunkt, hvilket henset til de foranstaltninger, som Microsoft har for adgangsbegrænsning og adgangsstyring, virker meget usandsynligt. </w:t>
      </w:r>
      <w:r w:rsidR="007002C3" w:rsidRPr="00DC4F35">
        <w:t xml:space="preserve">Hertil kommer </w:t>
      </w:r>
      <w:r w:rsidR="007002C3" w:rsidRPr="00DC4F35">
        <w:lastRenderedPageBreak/>
        <w:t xml:space="preserve">desuden, at </w:t>
      </w:r>
      <w:r w:rsidR="00EA6C77" w:rsidRPr="00DC4F35">
        <w:t xml:space="preserve">der </w:t>
      </w:r>
      <w:r w:rsidR="007002C3" w:rsidRPr="00DC4F35">
        <w:t xml:space="preserve">er </w:t>
      </w:r>
      <w:r w:rsidR="00EA6C77" w:rsidRPr="00DC4F35">
        <w:t xml:space="preserve">implementeret </w:t>
      </w:r>
      <w:r w:rsidR="007002C3" w:rsidRPr="00DC4F35">
        <w:t xml:space="preserve">Customer </w:t>
      </w:r>
      <w:proofErr w:type="spellStart"/>
      <w:r w:rsidR="007002C3" w:rsidRPr="00DC4F35">
        <w:t>Lockbox</w:t>
      </w:r>
      <w:proofErr w:type="spellEnd"/>
      <w:r w:rsidR="00EA6C77" w:rsidRPr="00DC4F35">
        <w:t xml:space="preserve">, der ganske vist ikke kan udelukke en adgang til oplysningerne i klar tekst, men som er et egnet værktøj til at begrænse </w:t>
      </w:r>
      <w:r w:rsidR="009B1632" w:rsidRPr="00DC4F35">
        <w:t>antallene af overførsler.</w:t>
      </w:r>
    </w:p>
    <w:p w14:paraId="0413AC71" w14:textId="77777777" w:rsidR="00891272" w:rsidRPr="00DC4F35" w:rsidRDefault="00891272" w:rsidP="0036440D">
      <w:pPr>
        <w:rPr>
          <w:rFonts w:cstheme="minorHAnsi"/>
          <w:iCs/>
        </w:rPr>
      </w:pPr>
    </w:p>
    <w:p w14:paraId="65BB711B" w14:textId="14D6F011" w:rsidR="00891272" w:rsidRPr="00DC4F35" w:rsidRDefault="00891272" w:rsidP="0036440D">
      <w:pPr>
        <w:rPr>
          <w:rFonts w:cstheme="minorHAnsi"/>
          <w:iCs/>
        </w:rPr>
      </w:pPr>
      <w:r w:rsidRPr="00DC4F35">
        <w:rPr>
          <w:rFonts w:cstheme="minorHAnsi"/>
          <w:iCs/>
        </w:rPr>
        <w:t xml:space="preserve">På denne baggrund ser det samlede risikobillede således ud: </w:t>
      </w:r>
    </w:p>
    <w:p w14:paraId="4FE220FE" w14:textId="77777777" w:rsidR="00891272" w:rsidRPr="00DC4F35" w:rsidRDefault="00891272" w:rsidP="0036440D">
      <w:pPr>
        <w:rPr>
          <w:rFonts w:cstheme="minorHAnsi"/>
          <w:iCs/>
        </w:rPr>
      </w:pPr>
    </w:p>
    <w:p w14:paraId="7B9E1EB1" w14:textId="15D21BDB" w:rsidR="00212D3B" w:rsidRPr="00DC4F35" w:rsidRDefault="00212D3B" w:rsidP="00212D3B">
      <w:pPr>
        <w:rPr>
          <w:rFonts w:cstheme="minorHAnsi"/>
          <w:i/>
        </w:rPr>
      </w:pPr>
      <w:r w:rsidRPr="00DC4F35">
        <w:rPr>
          <w:rFonts w:cstheme="minorHAnsi"/>
          <w:i/>
        </w:rPr>
        <w:t xml:space="preserve">Figur </w:t>
      </w:r>
      <w:r w:rsidR="003E1DD1" w:rsidRPr="00DC4F35">
        <w:rPr>
          <w:rFonts w:cstheme="minorHAnsi"/>
          <w:i/>
        </w:rPr>
        <w:t>7</w:t>
      </w:r>
      <w:r w:rsidRPr="00DC4F35">
        <w:rPr>
          <w:rFonts w:cstheme="minorHAnsi"/>
          <w:i/>
        </w:rPr>
        <w:t xml:space="preserve">. Risikobillede efter mitigerende foranstaltninger – </w:t>
      </w:r>
      <w:proofErr w:type="spellStart"/>
      <w:r w:rsidR="00950A77" w:rsidRPr="00DC4F35">
        <w:rPr>
          <w:rFonts w:cstheme="minorHAnsi"/>
          <w:i/>
        </w:rPr>
        <w:t>pseudonymiserede</w:t>
      </w:r>
      <w:proofErr w:type="spellEnd"/>
      <w:r w:rsidR="00950A77" w:rsidRPr="00DC4F35">
        <w:rPr>
          <w:rFonts w:cstheme="minorHAnsi"/>
          <w:i/>
        </w:rPr>
        <w:t xml:space="preserve"> brugs-/logoplysninger</w:t>
      </w:r>
    </w:p>
    <w:p w14:paraId="7C0C6921" w14:textId="5F1CC08A" w:rsidR="00212D3B" w:rsidRPr="00DC4F35" w:rsidRDefault="003B71C2" w:rsidP="00212D3B">
      <w:pPr>
        <w:rPr>
          <w:lang w:eastAsia="da-DK"/>
        </w:rPr>
      </w:pPr>
      <w:r>
        <w:rPr>
          <w:noProof/>
          <w:lang w:eastAsia="da-DK"/>
        </w:rPr>
        <w:drawing>
          <wp:inline distT="0" distB="0" distL="0" distR="0" wp14:anchorId="6A3B1855" wp14:editId="66934239">
            <wp:extent cx="4678878" cy="2216132"/>
            <wp:effectExtent l="0" t="0" r="7620" b="0"/>
            <wp:docPr id="1138946029"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946029" name="Billede 1" descr="Et billede, der indeholder tekst, skærmbillede, Font/skrifttype, nummer/tal&#10;&#10;Automatisk genereret beskrivelse"/>
                    <pic:cNvPicPr/>
                  </pic:nvPicPr>
                  <pic:blipFill>
                    <a:blip r:embed="rId17"/>
                    <a:stretch>
                      <a:fillRect/>
                    </a:stretch>
                  </pic:blipFill>
                  <pic:spPr>
                    <a:xfrm>
                      <a:off x="0" y="0"/>
                      <a:ext cx="4686405" cy="2219697"/>
                    </a:xfrm>
                    <a:prstGeom prst="rect">
                      <a:avLst/>
                    </a:prstGeom>
                  </pic:spPr>
                </pic:pic>
              </a:graphicData>
            </a:graphic>
          </wp:inline>
        </w:drawing>
      </w:r>
    </w:p>
    <w:p w14:paraId="10D2C423" w14:textId="77777777" w:rsidR="000C208C" w:rsidRPr="00DC4F35" w:rsidRDefault="000C208C" w:rsidP="0036440D">
      <w:pPr>
        <w:rPr>
          <w:rFonts w:cstheme="minorHAnsi"/>
          <w:iCs/>
        </w:rPr>
      </w:pPr>
    </w:p>
    <w:p w14:paraId="54496CEA" w14:textId="796B3E55" w:rsidR="0036440D" w:rsidRPr="00DC4F35" w:rsidRDefault="0036440D" w:rsidP="0036440D">
      <w:pPr>
        <w:pStyle w:val="Overskrift4"/>
      </w:pPr>
      <w:r w:rsidRPr="00DC4F35">
        <w:t>Tekniske oplysninger</w:t>
      </w:r>
    </w:p>
    <w:p w14:paraId="031E5B40" w14:textId="77777777" w:rsidR="000C6DB7" w:rsidRPr="00DC4F35" w:rsidRDefault="0036440D" w:rsidP="0036440D">
      <w:pPr>
        <w:rPr>
          <w:rFonts w:cstheme="minorHAnsi"/>
          <w:iCs/>
        </w:rPr>
      </w:pPr>
      <w:r w:rsidRPr="00DC4F35">
        <w:rPr>
          <w:rFonts w:cstheme="minorHAnsi"/>
          <w:iCs/>
        </w:rPr>
        <w:t xml:space="preserve">Tekniske oplysninger overføres tillige i de begrænsede tilfælde, hvor der gælder undtagelser til EU Data </w:t>
      </w:r>
      <w:proofErr w:type="spellStart"/>
      <w:r w:rsidRPr="00DC4F35">
        <w:rPr>
          <w:rFonts w:cstheme="minorHAnsi"/>
          <w:iCs/>
        </w:rPr>
        <w:t>Boundary</w:t>
      </w:r>
      <w:proofErr w:type="spellEnd"/>
      <w:r w:rsidRPr="00DC4F35">
        <w:rPr>
          <w:rFonts w:cstheme="minorHAnsi"/>
          <w:iCs/>
        </w:rPr>
        <w:t xml:space="preserve">. Det er uklart for </w:t>
      </w:r>
      <w:r w:rsidR="002E107A" w:rsidRPr="00DC4F35">
        <w:rPr>
          <w:rFonts w:cstheme="minorHAnsi"/>
          <w:iCs/>
        </w:rPr>
        <w:t>Statens It</w:t>
      </w:r>
      <w:r w:rsidR="00105FB6" w:rsidRPr="00DC4F35">
        <w:rPr>
          <w:rFonts w:cstheme="minorHAnsi"/>
          <w:iCs/>
        </w:rPr>
        <w:t xml:space="preserve"> og </w:t>
      </w:r>
      <w:r w:rsidR="002E107A" w:rsidRPr="00DC4F35">
        <w:rPr>
          <w:rFonts w:cstheme="minorHAnsi"/>
          <w:iCs/>
        </w:rPr>
        <w:t>Økonomistyrelsen</w:t>
      </w:r>
      <w:r w:rsidR="00C601E6" w:rsidRPr="00DC4F35">
        <w:rPr>
          <w:rFonts w:cstheme="minorHAnsi"/>
          <w:iCs/>
        </w:rPr>
        <w:t>,</w:t>
      </w:r>
      <w:r w:rsidRPr="00DC4F35">
        <w:rPr>
          <w:rFonts w:cstheme="minorHAnsi"/>
          <w:iCs/>
        </w:rPr>
        <w:t xml:space="preserve"> i hvilket omfang tekniske oplysninger overføres i forbindelse med de enkelte undtagelser, herunder</w:t>
      </w:r>
      <w:r w:rsidR="00C12151" w:rsidRPr="00DC4F35">
        <w:rPr>
          <w:rFonts w:cstheme="minorHAnsi"/>
          <w:iCs/>
        </w:rPr>
        <w:t xml:space="preserve"> i hvilket omfang de</w:t>
      </w:r>
      <w:r w:rsidRPr="00DC4F35">
        <w:rPr>
          <w:rFonts w:cstheme="minorHAnsi"/>
          <w:iCs/>
        </w:rPr>
        <w:t xml:space="preserve"> er inkluderet i ID-oplysninger</w:t>
      </w:r>
      <w:r w:rsidR="00C06865" w:rsidRPr="00DC4F35">
        <w:rPr>
          <w:rFonts w:cstheme="minorHAnsi"/>
          <w:iCs/>
        </w:rPr>
        <w:t xml:space="preserve"> og</w:t>
      </w:r>
      <w:r w:rsidRPr="00DC4F35">
        <w:rPr>
          <w:rFonts w:cstheme="minorHAnsi"/>
          <w:iCs/>
        </w:rPr>
        <w:t xml:space="preserve"> brugs-/logoplysninger</w:t>
      </w:r>
      <w:r w:rsidR="00B64F39" w:rsidRPr="00DC4F35">
        <w:rPr>
          <w:rFonts w:cstheme="minorHAnsi"/>
          <w:iCs/>
        </w:rPr>
        <w:t xml:space="preserve"> eller Customer Data i øvrigt</w:t>
      </w:r>
      <w:r w:rsidR="000C6DB7" w:rsidRPr="00DC4F35">
        <w:rPr>
          <w:rFonts w:cstheme="minorHAnsi"/>
          <w:iCs/>
        </w:rPr>
        <w:t>, jf. gennemgangen heraf ovenfor.</w:t>
      </w:r>
      <w:r w:rsidR="00C06865" w:rsidRPr="00DC4F35">
        <w:rPr>
          <w:rFonts w:cstheme="minorHAnsi"/>
          <w:iCs/>
        </w:rPr>
        <w:t xml:space="preserve"> </w:t>
      </w:r>
    </w:p>
    <w:p w14:paraId="00567C5D" w14:textId="77777777" w:rsidR="000C6DB7" w:rsidRPr="00DC4F35" w:rsidRDefault="000C6DB7" w:rsidP="0036440D">
      <w:pPr>
        <w:rPr>
          <w:rFonts w:cstheme="minorHAnsi"/>
          <w:iCs/>
        </w:rPr>
      </w:pPr>
    </w:p>
    <w:p w14:paraId="5400C4BE" w14:textId="2B233622" w:rsidR="000E1CBA" w:rsidRPr="00DC4F35" w:rsidRDefault="000E1CBA" w:rsidP="0036440D">
      <w:pPr>
        <w:rPr>
          <w:rFonts w:cstheme="minorHAnsi"/>
          <w:iCs/>
        </w:rPr>
      </w:pPr>
      <w:r w:rsidRPr="00DC4F35">
        <w:rPr>
          <w:rFonts w:cstheme="minorHAnsi"/>
          <w:iCs/>
        </w:rPr>
        <w:t xml:space="preserve">Selvom </w:t>
      </w:r>
      <w:r w:rsidR="00105FB6" w:rsidRPr="00DC4F35">
        <w:rPr>
          <w:rFonts w:cstheme="minorHAnsi"/>
          <w:iCs/>
        </w:rPr>
        <w:t>S</w:t>
      </w:r>
      <w:r w:rsidR="000E7944" w:rsidRPr="00DC4F35">
        <w:rPr>
          <w:rFonts w:cstheme="minorHAnsi"/>
          <w:iCs/>
        </w:rPr>
        <w:t>tatens It</w:t>
      </w:r>
      <w:r w:rsidR="00105FB6" w:rsidRPr="00DC4F35">
        <w:rPr>
          <w:rFonts w:cstheme="minorHAnsi"/>
          <w:iCs/>
        </w:rPr>
        <w:t xml:space="preserve"> og Ø</w:t>
      </w:r>
      <w:r w:rsidR="000E7944" w:rsidRPr="00DC4F35">
        <w:rPr>
          <w:rFonts w:cstheme="minorHAnsi"/>
          <w:iCs/>
        </w:rPr>
        <w:t>konomistyrelsen</w:t>
      </w:r>
      <w:r w:rsidR="00105FB6" w:rsidRPr="00DC4F35">
        <w:rPr>
          <w:rFonts w:cstheme="minorHAnsi"/>
          <w:iCs/>
        </w:rPr>
        <w:t xml:space="preserve"> </w:t>
      </w:r>
      <w:r w:rsidRPr="00DC4F35">
        <w:rPr>
          <w:rFonts w:cstheme="minorHAnsi"/>
          <w:iCs/>
        </w:rPr>
        <w:t xml:space="preserve">finder, </w:t>
      </w:r>
      <w:r w:rsidR="0036440D" w:rsidRPr="00DC4F35">
        <w:rPr>
          <w:rFonts w:cstheme="minorHAnsi"/>
          <w:iCs/>
        </w:rPr>
        <w:t>at tekniske oplysninger (</w:t>
      </w:r>
      <w:r w:rsidR="00105FB6" w:rsidRPr="00DC4F35">
        <w:rPr>
          <w:rFonts w:cstheme="minorHAnsi"/>
          <w:iCs/>
        </w:rPr>
        <w:t>De Dataansvarliges</w:t>
      </w:r>
      <w:r w:rsidR="0036440D" w:rsidRPr="00DC4F35">
        <w:rPr>
          <w:rFonts w:cstheme="minorHAnsi"/>
          <w:iCs/>
        </w:rPr>
        <w:t xml:space="preserve"> ip-adresse samt MAC</w:t>
      </w:r>
      <w:r w:rsidR="00C705D1" w:rsidRPr="00DC4F35">
        <w:rPr>
          <w:rFonts w:cstheme="minorHAnsi"/>
          <w:iCs/>
        </w:rPr>
        <w:t>-</w:t>
      </w:r>
      <w:r w:rsidR="0036440D" w:rsidRPr="00DC4F35">
        <w:rPr>
          <w:rFonts w:cstheme="minorHAnsi"/>
          <w:iCs/>
        </w:rPr>
        <w:t xml:space="preserve">nummer) </w:t>
      </w:r>
      <w:r w:rsidRPr="00DC4F35">
        <w:rPr>
          <w:rFonts w:cstheme="minorHAnsi"/>
          <w:iCs/>
        </w:rPr>
        <w:t xml:space="preserve">i vidt omfang vil være tilgængelige for alle internetudbydere, hjemmesideværter mv., er der ikke tale om, at disse oplysninger må anses for at være offentligt tilgængelige eller bestemt hertil. </w:t>
      </w:r>
    </w:p>
    <w:p w14:paraId="5CA4DE37" w14:textId="77777777" w:rsidR="000E1CBA" w:rsidRPr="00DC4F35" w:rsidRDefault="000E1CBA" w:rsidP="0036440D">
      <w:pPr>
        <w:rPr>
          <w:rFonts w:cstheme="minorHAnsi"/>
          <w:iCs/>
        </w:rPr>
      </w:pPr>
    </w:p>
    <w:p w14:paraId="09B81997" w14:textId="64DB9472" w:rsidR="001C5D7C" w:rsidRPr="00DC4F35" w:rsidRDefault="001C5D7C" w:rsidP="001C5D7C">
      <w:pPr>
        <w:rPr>
          <w:rFonts w:cstheme="minorHAnsi"/>
          <w:iCs/>
        </w:rPr>
      </w:pPr>
      <w:r w:rsidRPr="00DC4F35">
        <w:rPr>
          <w:rFonts w:cstheme="minorHAnsi"/>
          <w:iCs/>
        </w:rPr>
        <w:t xml:space="preserve">Det er herefter Økonomistyrelsens og Statens </w:t>
      </w:r>
      <w:proofErr w:type="spellStart"/>
      <w:r w:rsidRPr="00DC4F35">
        <w:rPr>
          <w:rFonts w:cstheme="minorHAnsi"/>
          <w:iCs/>
        </w:rPr>
        <w:t>It’s</w:t>
      </w:r>
      <w:proofErr w:type="spellEnd"/>
      <w:r w:rsidRPr="00DC4F35">
        <w:rPr>
          <w:rFonts w:cstheme="minorHAnsi"/>
          <w:iCs/>
        </w:rPr>
        <w:t xml:space="preserve"> vurdering, at sandsynligheden og konsekvensen for de registrerede kan fastsættes som følger under hensyntagen til oplysningernes og overførslernes karakter: </w:t>
      </w:r>
    </w:p>
    <w:p w14:paraId="76BA6163" w14:textId="77777777" w:rsidR="001C5D7C" w:rsidRPr="00DC4F35" w:rsidRDefault="001C5D7C" w:rsidP="001C5D7C">
      <w:pPr>
        <w:rPr>
          <w:rFonts w:cstheme="minorHAnsi"/>
          <w:iCs/>
        </w:rPr>
      </w:pPr>
    </w:p>
    <w:p w14:paraId="67370142" w14:textId="4D5DD9F2" w:rsidR="001C5D7C" w:rsidRPr="00DC4F35" w:rsidRDefault="001C5D7C" w:rsidP="001C5D7C">
      <w:pPr>
        <w:rPr>
          <w:rFonts w:cstheme="minorHAnsi"/>
          <w:i/>
        </w:rPr>
      </w:pPr>
      <w:r w:rsidRPr="00DC4F35">
        <w:rPr>
          <w:rFonts w:cstheme="minorHAnsi"/>
          <w:i/>
        </w:rPr>
        <w:t xml:space="preserve">Figur </w:t>
      </w:r>
      <w:r w:rsidR="003B06E1" w:rsidRPr="00DC4F35">
        <w:rPr>
          <w:rFonts w:cstheme="minorHAnsi"/>
          <w:i/>
        </w:rPr>
        <w:t>8</w:t>
      </w:r>
      <w:r w:rsidRPr="00DC4F35">
        <w:rPr>
          <w:rFonts w:cstheme="minorHAnsi"/>
          <w:i/>
        </w:rPr>
        <w:t xml:space="preserve">. Risikobillede efter mitigerende foranstaltninger – </w:t>
      </w:r>
      <w:r w:rsidR="00546241" w:rsidRPr="00DC4F35">
        <w:rPr>
          <w:rFonts w:cstheme="minorHAnsi"/>
          <w:i/>
        </w:rPr>
        <w:t>tekniske oplysninger</w:t>
      </w:r>
    </w:p>
    <w:p w14:paraId="44382934" w14:textId="029B78FD" w:rsidR="001C5D7C" w:rsidRPr="00DC4F35" w:rsidRDefault="001308E9" w:rsidP="001C5D7C">
      <w:pPr>
        <w:rPr>
          <w:lang w:eastAsia="da-DK"/>
        </w:rPr>
      </w:pPr>
      <w:r>
        <w:rPr>
          <w:noProof/>
          <w:lang w:eastAsia="da-DK"/>
        </w:rPr>
        <w:lastRenderedPageBreak/>
        <w:drawing>
          <wp:inline distT="0" distB="0" distL="0" distR="0" wp14:anchorId="3B7FE9E5" wp14:editId="1D01D6DA">
            <wp:extent cx="4880759" cy="2315297"/>
            <wp:effectExtent l="0" t="0" r="0" b="8890"/>
            <wp:docPr id="1834419113"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419113" name="Billede 1" descr="Et billede, der indeholder tekst, skærmbillede, Font/skrifttype, nummer/tal&#10;&#10;Automatisk genereret beskrivelse"/>
                    <pic:cNvPicPr/>
                  </pic:nvPicPr>
                  <pic:blipFill>
                    <a:blip r:embed="rId18"/>
                    <a:stretch>
                      <a:fillRect/>
                    </a:stretch>
                  </pic:blipFill>
                  <pic:spPr>
                    <a:xfrm>
                      <a:off x="0" y="0"/>
                      <a:ext cx="4886076" cy="2317819"/>
                    </a:xfrm>
                    <a:prstGeom prst="rect">
                      <a:avLst/>
                    </a:prstGeom>
                  </pic:spPr>
                </pic:pic>
              </a:graphicData>
            </a:graphic>
          </wp:inline>
        </w:drawing>
      </w:r>
    </w:p>
    <w:p w14:paraId="698CCEDE" w14:textId="77777777" w:rsidR="000351FC" w:rsidRPr="00DC4F35" w:rsidRDefault="000351FC" w:rsidP="0036440D">
      <w:pPr>
        <w:rPr>
          <w:lang w:eastAsia="da-DK"/>
        </w:rPr>
      </w:pPr>
    </w:p>
    <w:p w14:paraId="50959393" w14:textId="77777777" w:rsidR="0036440D" w:rsidRPr="00DC4F35" w:rsidRDefault="0036440D" w:rsidP="0036440D">
      <w:pPr>
        <w:pStyle w:val="Overskrift1"/>
      </w:pPr>
      <w:bookmarkStart w:id="108" w:name="_Toc79589555"/>
      <w:bookmarkStart w:id="109" w:name="_Toc79589556"/>
      <w:bookmarkStart w:id="110" w:name="_Toc66959795"/>
      <w:bookmarkStart w:id="111" w:name="_Toc170824054"/>
      <w:bookmarkEnd w:id="108"/>
      <w:bookmarkEnd w:id="109"/>
      <w:r w:rsidRPr="00DC4F35">
        <w:t>Trin 5: Implementér overførselsgrundlag og supplerende foranstaltninger</w:t>
      </w:r>
      <w:bookmarkEnd w:id="110"/>
      <w:bookmarkEnd w:id="111"/>
      <w:r w:rsidRPr="00DC4F35">
        <w:t xml:space="preserve"> </w:t>
      </w:r>
    </w:p>
    <w:p w14:paraId="47C4CF8D" w14:textId="30EE0DC1" w:rsidR="00931D96" w:rsidRPr="00DC4F35" w:rsidRDefault="00931D96" w:rsidP="0036440D">
      <w:pPr>
        <w:rPr>
          <w:lang w:eastAsia="da-DK"/>
        </w:rPr>
      </w:pPr>
      <w:r w:rsidRPr="00DC4F35">
        <w:rPr>
          <w:lang w:eastAsia="da-DK"/>
        </w:rPr>
        <w:t xml:space="preserve">Hvis </w:t>
      </w:r>
      <w:r w:rsidR="00AA7A1A" w:rsidRPr="00DC4F35">
        <w:rPr>
          <w:lang w:eastAsia="da-DK"/>
        </w:rPr>
        <w:t xml:space="preserve">De Dataansvarlige </w:t>
      </w:r>
      <w:r w:rsidRPr="00DC4F35">
        <w:rPr>
          <w:lang w:eastAsia="da-DK"/>
        </w:rPr>
        <w:t xml:space="preserve">beslutter at tage </w:t>
      </w:r>
      <w:r w:rsidR="001B1CDE" w:rsidRPr="00DC4F35">
        <w:rPr>
          <w:lang w:eastAsia="da-DK"/>
        </w:rPr>
        <w:t>Microsoft 365 samt supportydelserne</w:t>
      </w:r>
      <w:r w:rsidR="00B64F39" w:rsidRPr="00DC4F35">
        <w:rPr>
          <w:lang w:eastAsia="da-DK"/>
        </w:rPr>
        <w:t xml:space="preserve"> </w:t>
      </w:r>
      <w:r w:rsidRPr="00DC4F35">
        <w:rPr>
          <w:lang w:eastAsia="da-DK"/>
        </w:rPr>
        <w:t>i brug</w:t>
      </w:r>
      <w:r w:rsidR="00760BC4" w:rsidRPr="00DC4F35">
        <w:rPr>
          <w:lang w:eastAsia="da-DK"/>
        </w:rPr>
        <w:t>,</w:t>
      </w:r>
      <w:r w:rsidRPr="00DC4F35">
        <w:rPr>
          <w:lang w:eastAsia="da-DK"/>
        </w:rPr>
        <w:t xml:space="preserve"> vil sikring af EU-Kommissionens standardkontraktbestemmelser samt implementering af supplerende foranstaltninger ske ved, at </w:t>
      </w:r>
      <w:r w:rsidR="001B1CDE" w:rsidRPr="00DC4F35">
        <w:rPr>
          <w:lang w:eastAsia="da-DK"/>
        </w:rPr>
        <w:t>De Dataansvarlige</w:t>
      </w:r>
      <w:r w:rsidRPr="00DC4F35">
        <w:rPr>
          <w:lang w:eastAsia="da-DK"/>
        </w:rPr>
        <w:t xml:space="preserve"> indgår Microsoft</w:t>
      </w:r>
      <w:r w:rsidR="008034D3" w:rsidRPr="00DC4F35">
        <w:rPr>
          <w:lang w:eastAsia="da-DK"/>
        </w:rPr>
        <w:t xml:space="preserve"> Irelands</w:t>
      </w:r>
      <w:r w:rsidRPr="00DC4F35">
        <w:rPr>
          <w:lang w:eastAsia="da-DK"/>
        </w:rPr>
        <w:t xml:space="preserve"> databehandleraftale. </w:t>
      </w:r>
      <w:r w:rsidR="001B1CDE" w:rsidRPr="00DC4F35">
        <w:rPr>
          <w:iCs/>
        </w:rPr>
        <w:t>Desuden henvises til aftalekonstruktionen</w:t>
      </w:r>
      <w:r w:rsidR="00760BC4" w:rsidRPr="00DC4F35">
        <w:rPr>
          <w:iCs/>
        </w:rPr>
        <w:t>,</w:t>
      </w:r>
      <w:r w:rsidR="001B1CDE" w:rsidRPr="00DC4F35">
        <w:rPr>
          <w:iCs/>
        </w:rPr>
        <w:t xml:space="preserve"> som er beskrevet ovenfor i afsnit</w:t>
      </w:r>
      <w:r w:rsidR="0016218D" w:rsidRPr="00DC4F35">
        <w:rPr>
          <w:iCs/>
        </w:rPr>
        <w:t xml:space="preserve"> 3.1</w:t>
      </w:r>
      <w:r w:rsidR="001B1CDE" w:rsidRPr="00DC4F35">
        <w:rPr>
          <w:iCs/>
        </w:rPr>
        <w:t>, som De Dataansvarlige er omfattet af</w:t>
      </w:r>
      <w:r w:rsidRPr="00DC4F35">
        <w:rPr>
          <w:iCs/>
        </w:rPr>
        <w:t>.</w:t>
      </w:r>
      <w:r w:rsidRPr="00DC4F35">
        <w:rPr>
          <w:lang w:eastAsia="da-DK"/>
        </w:rPr>
        <w:t xml:space="preserve"> </w:t>
      </w:r>
    </w:p>
    <w:p w14:paraId="7F8D19AC" w14:textId="77777777" w:rsidR="00C601E6" w:rsidRPr="00DC4F35" w:rsidRDefault="00C601E6" w:rsidP="0036440D">
      <w:pPr>
        <w:rPr>
          <w:iCs/>
        </w:rPr>
      </w:pPr>
    </w:p>
    <w:p w14:paraId="6B8B0F27" w14:textId="79DEBDA3" w:rsidR="0036440D" w:rsidRPr="00DC4F35" w:rsidRDefault="0036440D" w:rsidP="0036440D">
      <w:pPr>
        <w:rPr>
          <w:lang w:eastAsia="da-DK"/>
        </w:rPr>
      </w:pPr>
      <w:r w:rsidRPr="00DC4F35">
        <w:rPr>
          <w:lang w:eastAsia="da-DK"/>
        </w:rPr>
        <w:t xml:space="preserve">Microsoft </w:t>
      </w:r>
      <w:r w:rsidR="008034D3" w:rsidRPr="00DC4F35">
        <w:rPr>
          <w:lang w:eastAsia="da-DK"/>
        </w:rPr>
        <w:t xml:space="preserve">Ireland </w:t>
      </w:r>
      <w:r w:rsidRPr="00DC4F35">
        <w:rPr>
          <w:lang w:eastAsia="da-DK"/>
        </w:rPr>
        <w:t xml:space="preserve">anfører følgende om etablering af overførselsgrundlag i sin </w:t>
      </w:r>
      <w:r w:rsidRPr="00DC4F35">
        <w:rPr>
          <w:iCs/>
        </w:rPr>
        <w:t>databehandleraftale</w:t>
      </w:r>
      <w:r w:rsidRPr="00DC4F35">
        <w:rPr>
          <w:lang w:eastAsia="da-DK"/>
        </w:rPr>
        <w:t xml:space="preserve"> i afsnittet ”</w:t>
      </w:r>
      <w:r w:rsidRPr="00DC4F35">
        <w:rPr>
          <w:i/>
          <w:iCs/>
        </w:rPr>
        <w:t xml:space="preserve">Data </w:t>
      </w:r>
      <w:r w:rsidRPr="00DC4F35">
        <w:rPr>
          <w:i/>
          <w:iCs/>
          <w:lang w:eastAsia="da-DK"/>
        </w:rPr>
        <w:t>Transfers and Location</w:t>
      </w:r>
      <w:r w:rsidRPr="00DC4F35">
        <w:rPr>
          <w:lang w:eastAsia="da-DK"/>
        </w:rPr>
        <w:t xml:space="preserve">”: </w:t>
      </w:r>
    </w:p>
    <w:p w14:paraId="50D1308C" w14:textId="77777777" w:rsidR="0036440D" w:rsidRPr="00DC4F35" w:rsidRDefault="0036440D" w:rsidP="0036440D">
      <w:pPr>
        <w:rPr>
          <w:lang w:eastAsia="da-DK"/>
        </w:rPr>
      </w:pPr>
    </w:p>
    <w:p w14:paraId="04403B90" w14:textId="77777777" w:rsidR="0036440D" w:rsidRPr="001C19E7" w:rsidRDefault="0036440D" w:rsidP="00142011">
      <w:pPr>
        <w:pStyle w:val="Citat"/>
        <w:ind w:left="1276"/>
        <w:rPr>
          <w:lang w:val="en-US" w:eastAsia="da-DK"/>
        </w:rPr>
      </w:pPr>
      <w:r w:rsidRPr="001C19E7">
        <w:rPr>
          <w:lang w:val="en-US" w:eastAsia="da-DK"/>
        </w:rPr>
        <w:t>"All transfers of Customer Data, Professional Services Data, and Personal Data out of the European Union, European Economic Area, United Kingdom, and Switzerland to provide the Products and Services shall be governed by the 2021 Standard Contractual Clauses implemented by Microsoft."</w:t>
      </w:r>
    </w:p>
    <w:p w14:paraId="52012DC1" w14:textId="099B88BB" w:rsidR="0036440D" w:rsidRPr="00DC4F35" w:rsidRDefault="0036440D" w:rsidP="0036440D">
      <w:pPr>
        <w:rPr>
          <w:lang w:eastAsia="da-DK"/>
        </w:rPr>
      </w:pPr>
      <w:r w:rsidRPr="00DC4F35">
        <w:rPr>
          <w:lang w:eastAsia="da-DK"/>
        </w:rPr>
        <w:t>Dette suppleres af definitionsafsnittet i Microsoft</w:t>
      </w:r>
      <w:r w:rsidR="008034D3" w:rsidRPr="00DC4F35">
        <w:rPr>
          <w:lang w:eastAsia="da-DK"/>
        </w:rPr>
        <w:t xml:space="preserve"> Irelands </w:t>
      </w:r>
      <w:r w:rsidRPr="00DC4F35">
        <w:rPr>
          <w:iCs/>
        </w:rPr>
        <w:t>databehandleraftale</w:t>
      </w:r>
      <w:r w:rsidRPr="00DC4F35">
        <w:rPr>
          <w:lang w:eastAsia="da-DK"/>
        </w:rPr>
        <w:t xml:space="preserve"> med følgende:</w:t>
      </w:r>
    </w:p>
    <w:p w14:paraId="1245325D" w14:textId="77777777" w:rsidR="0036440D" w:rsidRPr="00DC4F35" w:rsidRDefault="0036440D" w:rsidP="0036440D">
      <w:pPr>
        <w:rPr>
          <w:i/>
          <w:iCs/>
          <w:lang w:eastAsia="da-DK"/>
        </w:rPr>
      </w:pPr>
    </w:p>
    <w:p w14:paraId="233D2023" w14:textId="430EC9AD" w:rsidR="0036440D" w:rsidRPr="001C19E7" w:rsidRDefault="0036440D" w:rsidP="00142011">
      <w:pPr>
        <w:pStyle w:val="Citat"/>
        <w:ind w:left="1276"/>
        <w:rPr>
          <w:lang w:val="en-US" w:eastAsia="da-DK"/>
        </w:rPr>
      </w:pPr>
      <w:r w:rsidRPr="001C19E7">
        <w:rPr>
          <w:lang w:val="en-US" w:eastAsia="da-DK"/>
        </w:rPr>
        <w:t>"2021 Standard Contractual Clauses” means the standard data protection clauses (processor-to-processor module) between Microsoft Ireland Operations Limited and Microsoft Corporation for the transfer of personal data from processors in the EEA to processors established in third countries which do not ensure an adequate level of data protection, as described in Article 46 of the GDPR and approved by the European Commission in decision 2021/914/EC, dated 4 June 2021."</w:t>
      </w:r>
    </w:p>
    <w:p w14:paraId="7B069AE1" w14:textId="5BFB6162" w:rsidR="0036440D" w:rsidRPr="00DC4F35" w:rsidRDefault="0036440D" w:rsidP="0036440D">
      <w:pPr>
        <w:rPr>
          <w:rFonts w:cstheme="minorHAnsi"/>
        </w:rPr>
      </w:pPr>
      <w:r w:rsidRPr="00DC4F35">
        <w:rPr>
          <w:lang w:eastAsia="da-DK"/>
        </w:rPr>
        <w:lastRenderedPageBreak/>
        <w:t>Microsoft</w:t>
      </w:r>
      <w:r w:rsidR="008034D3" w:rsidRPr="00DC4F35">
        <w:rPr>
          <w:lang w:eastAsia="da-DK"/>
        </w:rPr>
        <w:t xml:space="preserve"> Ireland</w:t>
      </w:r>
      <w:r w:rsidRPr="00DC4F35">
        <w:rPr>
          <w:lang w:eastAsia="da-DK"/>
        </w:rPr>
        <w:t xml:space="preserve"> angiver herved, at Microsoft </w:t>
      </w:r>
      <w:r w:rsidR="00D178FE" w:rsidRPr="00DC4F35">
        <w:rPr>
          <w:lang w:eastAsia="da-DK"/>
        </w:rPr>
        <w:t xml:space="preserve">Ireland </w:t>
      </w:r>
      <w:r w:rsidRPr="00DC4F35">
        <w:rPr>
          <w:lang w:eastAsia="da-DK"/>
        </w:rPr>
        <w:t>vil indgå i EU-Kommissionens standardkontraktbestemmelser</w:t>
      </w:r>
      <w:r w:rsidR="00BD78CA" w:rsidRPr="00DC4F35">
        <w:rPr>
          <w:lang w:eastAsia="da-DK"/>
        </w:rPr>
        <w:t>,</w:t>
      </w:r>
      <w:r w:rsidRPr="00DC4F35">
        <w:rPr>
          <w:lang w:eastAsia="da-DK"/>
        </w:rPr>
        <w:t xml:space="preserve"> modul 3 </w:t>
      </w:r>
      <w:proofErr w:type="gramStart"/>
      <w:r w:rsidRPr="00DC4F35">
        <w:rPr>
          <w:lang w:eastAsia="da-DK"/>
        </w:rPr>
        <w:t>”</w:t>
      </w:r>
      <w:r w:rsidRPr="00DC4F35">
        <w:rPr>
          <w:i/>
          <w:iCs/>
          <w:lang w:eastAsia="da-DK"/>
        </w:rPr>
        <w:t>(</w:t>
      </w:r>
      <w:proofErr w:type="gramEnd"/>
      <w:r w:rsidRPr="00DC4F35">
        <w:rPr>
          <w:i/>
          <w:iCs/>
          <w:lang w:eastAsia="da-DK"/>
        </w:rPr>
        <w:t xml:space="preserve">processor-to-processor </w:t>
      </w:r>
      <w:proofErr w:type="spellStart"/>
      <w:r w:rsidRPr="00DC4F35">
        <w:rPr>
          <w:i/>
          <w:iCs/>
          <w:lang w:eastAsia="da-DK"/>
        </w:rPr>
        <w:t>module</w:t>
      </w:r>
      <w:proofErr w:type="spellEnd"/>
      <w:r w:rsidRPr="00DC4F35">
        <w:rPr>
          <w:i/>
          <w:iCs/>
          <w:lang w:eastAsia="da-DK"/>
        </w:rPr>
        <w:t>)</w:t>
      </w:r>
      <w:r w:rsidRPr="00DC4F35">
        <w:rPr>
          <w:lang w:eastAsia="da-DK"/>
        </w:rPr>
        <w:t>”</w:t>
      </w:r>
      <w:r w:rsidR="00BD78CA" w:rsidRPr="00DC4F35">
        <w:rPr>
          <w:lang w:eastAsia="da-DK"/>
        </w:rPr>
        <w:t>,</w:t>
      </w:r>
      <w:r w:rsidRPr="00DC4F35">
        <w:rPr>
          <w:i/>
          <w:iCs/>
          <w:lang w:eastAsia="da-DK"/>
        </w:rPr>
        <w:t xml:space="preserve"> </w:t>
      </w:r>
      <w:r w:rsidRPr="00DC4F35">
        <w:rPr>
          <w:lang w:eastAsia="da-DK"/>
        </w:rPr>
        <w:t>med Microsoft Corporation,</w:t>
      </w:r>
      <w:r w:rsidR="00C601E6" w:rsidRPr="00DC4F35">
        <w:rPr>
          <w:lang w:eastAsia="da-DK"/>
        </w:rPr>
        <w:t xml:space="preserve"> </w:t>
      </w:r>
      <w:r w:rsidRPr="00DC4F35">
        <w:rPr>
          <w:lang w:eastAsia="da-DK"/>
        </w:rPr>
        <w:t>og herved etablere et overførselsgrundlag mellem de to parter for så vidt angår de overførsler, der sker til tredjelande</w:t>
      </w:r>
      <w:r w:rsidR="00D178FE" w:rsidRPr="00DC4F35">
        <w:rPr>
          <w:lang w:eastAsia="da-DK"/>
        </w:rPr>
        <w:t>.</w:t>
      </w:r>
      <w:r w:rsidRPr="00DC4F35">
        <w:rPr>
          <w:lang w:eastAsia="da-DK"/>
        </w:rPr>
        <w:t xml:space="preserve"> </w:t>
      </w:r>
      <w:r w:rsidRPr="00DC4F35">
        <w:rPr>
          <w:rFonts w:cstheme="minorHAnsi"/>
        </w:rPr>
        <w:t>Det kan ikke direkte udledes af Microsoft</w:t>
      </w:r>
      <w:r w:rsidR="00D178FE" w:rsidRPr="00DC4F35">
        <w:rPr>
          <w:rFonts w:cstheme="minorHAnsi"/>
        </w:rPr>
        <w:t xml:space="preserve"> Irelands</w:t>
      </w:r>
      <w:r w:rsidRPr="00DC4F35">
        <w:rPr>
          <w:rFonts w:cstheme="minorHAnsi"/>
        </w:rPr>
        <w:t xml:space="preserve"> </w:t>
      </w:r>
      <w:r w:rsidRPr="00DC4F35">
        <w:rPr>
          <w:iCs/>
        </w:rPr>
        <w:t>databehandleraftale</w:t>
      </w:r>
      <w:r w:rsidRPr="00DC4F35">
        <w:rPr>
          <w:rFonts w:cstheme="minorHAnsi"/>
        </w:rPr>
        <w:t>, om alle overførsler vil gå igennem Microsoft Corporation. Microsoft</w:t>
      </w:r>
      <w:r w:rsidR="00D178FE" w:rsidRPr="00DC4F35">
        <w:rPr>
          <w:rFonts w:cstheme="minorHAnsi"/>
        </w:rPr>
        <w:t xml:space="preserve"> Ireland</w:t>
      </w:r>
      <w:r w:rsidRPr="00DC4F35">
        <w:rPr>
          <w:rFonts w:cstheme="minorHAnsi"/>
        </w:rPr>
        <w:t xml:space="preserve"> henviser i Microsoft</w:t>
      </w:r>
      <w:r w:rsidR="00D178FE" w:rsidRPr="00DC4F35">
        <w:rPr>
          <w:rFonts w:cstheme="minorHAnsi"/>
        </w:rPr>
        <w:t xml:space="preserve"> Irelands</w:t>
      </w:r>
      <w:r w:rsidRPr="00DC4F35">
        <w:rPr>
          <w:rFonts w:cstheme="minorHAnsi"/>
        </w:rPr>
        <w:t xml:space="preserve"> </w:t>
      </w:r>
      <w:r w:rsidRPr="00DC4F35">
        <w:rPr>
          <w:iCs/>
        </w:rPr>
        <w:t>databehandleraftale</w:t>
      </w:r>
      <w:r w:rsidRPr="00DC4F35">
        <w:rPr>
          <w:rFonts w:cstheme="minorHAnsi"/>
        </w:rPr>
        <w:t xml:space="preserve"> dog alene til Microsoft Corporation for så vidt angår etablering af overførselsgrundlag via </w:t>
      </w:r>
      <w:r w:rsidRPr="00DC4F35">
        <w:rPr>
          <w:lang w:eastAsia="da-DK"/>
        </w:rPr>
        <w:t>EU-Kommissionens standardkontraktbestemmelser for alle overførsler til tredjelande</w:t>
      </w:r>
      <w:r w:rsidRPr="00DC4F35">
        <w:rPr>
          <w:rFonts w:cstheme="minorHAnsi"/>
        </w:rPr>
        <w:t xml:space="preserve"> (se nærmere herom trin 6), hvorfor det lægges til grund, at eventuelle overførsler til andre underdatabehandlere end Microsoft Corporation sker via Microsoft Corporation.</w:t>
      </w:r>
    </w:p>
    <w:p w14:paraId="4770A479" w14:textId="77777777" w:rsidR="0036440D" w:rsidRPr="00DC4F35" w:rsidRDefault="0036440D" w:rsidP="0036440D">
      <w:pPr>
        <w:rPr>
          <w:lang w:eastAsia="da-DK"/>
        </w:rPr>
      </w:pPr>
    </w:p>
    <w:p w14:paraId="47627DD0" w14:textId="53BBDC92" w:rsidR="0036440D" w:rsidRPr="00DC4F35" w:rsidRDefault="0036440D" w:rsidP="0036440D">
      <w:pPr>
        <w:rPr>
          <w:lang w:eastAsia="da-DK"/>
        </w:rPr>
      </w:pPr>
      <w:r w:rsidRPr="00DC4F35">
        <w:rPr>
          <w:lang w:eastAsia="da-DK"/>
        </w:rPr>
        <w:t xml:space="preserve">Microsoft </w:t>
      </w:r>
      <w:r w:rsidR="00BF2C71" w:rsidRPr="00DC4F35">
        <w:rPr>
          <w:lang w:eastAsia="da-DK"/>
        </w:rPr>
        <w:t xml:space="preserve">Ireland </w:t>
      </w:r>
      <w:r w:rsidRPr="00DC4F35">
        <w:rPr>
          <w:lang w:eastAsia="da-DK"/>
        </w:rPr>
        <w:t>anfører desuden følgende om Microsoft</w:t>
      </w:r>
      <w:r w:rsidR="00B16AE3" w:rsidRPr="00DC4F35">
        <w:rPr>
          <w:lang w:eastAsia="da-DK"/>
        </w:rPr>
        <w:t xml:space="preserve"> Irelands</w:t>
      </w:r>
      <w:r w:rsidRPr="00DC4F35">
        <w:rPr>
          <w:lang w:eastAsia="da-DK"/>
        </w:rPr>
        <w:t xml:space="preserve"> brug af underdatabehandlere i sin </w:t>
      </w:r>
      <w:r w:rsidRPr="00DC4F35">
        <w:rPr>
          <w:iCs/>
        </w:rPr>
        <w:t>databehandleraftale</w:t>
      </w:r>
      <w:r w:rsidRPr="00DC4F35">
        <w:rPr>
          <w:lang w:eastAsia="da-DK"/>
        </w:rPr>
        <w:t xml:space="preserve"> i afsnittet </w:t>
      </w:r>
      <w:r w:rsidRPr="00DC4F35">
        <w:t>”</w:t>
      </w:r>
      <w:proofErr w:type="spellStart"/>
      <w:r w:rsidRPr="00DC4F35">
        <w:rPr>
          <w:lang w:eastAsia="da-DK"/>
        </w:rPr>
        <w:t>Notice</w:t>
      </w:r>
      <w:proofErr w:type="spellEnd"/>
      <w:r w:rsidRPr="00DC4F35">
        <w:rPr>
          <w:lang w:eastAsia="da-DK"/>
        </w:rPr>
        <w:t xml:space="preserve"> and Controls on </w:t>
      </w:r>
      <w:proofErr w:type="spellStart"/>
      <w:r w:rsidRPr="00DC4F35">
        <w:rPr>
          <w:lang w:eastAsia="da-DK"/>
        </w:rPr>
        <w:t>use</w:t>
      </w:r>
      <w:proofErr w:type="spellEnd"/>
      <w:r w:rsidRPr="00DC4F35">
        <w:rPr>
          <w:lang w:eastAsia="da-DK"/>
        </w:rPr>
        <w:t xml:space="preserve"> of Subprocessors”: </w:t>
      </w:r>
    </w:p>
    <w:p w14:paraId="288175D2" w14:textId="77777777" w:rsidR="0036440D" w:rsidRPr="00DC4F35" w:rsidRDefault="0036440D" w:rsidP="0036440D">
      <w:pPr>
        <w:rPr>
          <w:lang w:eastAsia="da-DK"/>
        </w:rPr>
      </w:pPr>
    </w:p>
    <w:p w14:paraId="390A39EC" w14:textId="1E6BE78D" w:rsidR="0036440D" w:rsidRPr="001C19E7" w:rsidRDefault="0036440D" w:rsidP="00142011">
      <w:pPr>
        <w:pStyle w:val="Citat"/>
        <w:ind w:left="1276"/>
        <w:rPr>
          <w:lang w:val="en-US" w:eastAsia="da-DK"/>
        </w:rPr>
      </w:pPr>
      <w:r w:rsidRPr="001C19E7">
        <w:rPr>
          <w:lang w:val="en-US" w:eastAsia="da-DK"/>
        </w:rPr>
        <w:t xml:space="preserve">"Microsoft is responsible for its </w:t>
      </w:r>
      <w:proofErr w:type="spellStart"/>
      <w:r w:rsidRPr="001C19E7">
        <w:rPr>
          <w:lang w:val="en-US" w:eastAsia="da-DK"/>
        </w:rPr>
        <w:t>Subprocessors</w:t>
      </w:r>
      <w:proofErr w:type="spellEnd"/>
      <w:r w:rsidRPr="001C19E7">
        <w:rPr>
          <w:lang w:val="en-US" w:eastAsia="da-DK"/>
        </w:rPr>
        <w:t>’ compliance with Microsoft’s obligations in this DPA".</w:t>
      </w:r>
    </w:p>
    <w:p w14:paraId="585CDFAF" w14:textId="38438896" w:rsidR="0036440D" w:rsidRPr="00DC4F35" w:rsidRDefault="00AA7A1A" w:rsidP="0036440D">
      <w:pPr>
        <w:rPr>
          <w:lang w:eastAsia="da-DK"/>
        </w:rPr>
      </w:pPr>
      <w:r w:rsidRPr="00DC4F35">
        <w:rPr>
          <w:lang w:eastAsia="da-DK"/>
        </w:rPr>
        <w:t xml:space="preserve">De Dataansvarlige </w:t>
      </w:r>
      <w:r w:rsidR="0036440D" w:rsidRPr="00DC4F35">
        <w:rPr>
          <w:lang w:eastAsia="da-DK"/>
        </w:rPr>
        <w:t xml:space="preserve">lægger på baggrund heraf til grund, at Microsoft </w:t>
      </w:r>
      <w:r w:rsidR="00B05E8B" w:rsidRPr="00DC4F35">
        <w:rPr>
          <w:lang w:eastAsia="da-DK"/>
        </w:rPr>
        <w:t xml:space="preserve">Ireland </w:t>
      </w:r>
      <w:r w:rsidR="0036440D" w:rsidRPr="00DC4F35">
        <w:rPr>
          <w:lang w:eastAsia="da-DK"/>
        </w:rPr>
        <w:t>ved indgåelse af Microsoft</w:t>
      </w:r>
      <w:r w:rsidR="00596D84" w:rsidRPr="00DC4F35">
        <w:rPr>
          <w:lang w:eastAsia="da-DK"/>
        </w:rPr>
        <w:t xml:space="preserve"> Irelands</w:t>
      </w:r>
      <w:r w:rsidR="0036440D" w:rsidRPr="00DC4F35">
        <w:rPr>
          <w:lang w:eastAsia="da-DK"/>
        </w:rPr>
        <w:t xml:space="preserve"> </w:t>
      </w:r>
      <w:r w:rsidR="0036440D" w:rsidRPr="00DC4F35">
        <w:rPr>
          <w:iCs/>
        </w:rPr>
        <w:t>databehandleraftale</w:t>
      </w:r>
      <w:r w:rsidR="0036440D" w:rsidRPr="00DC4F35">
        <w:rPr>
          <w:lang w:eastAsia="da-DK"/>
        </w:rPr>
        <w:t xml:space="preserve"> forpligter sig til at sikre, at der også ved eventuelle overførsler til Microsoft</w:t>
      </w:r>
      <w:r w:rsidR="00596D84" w:rsidRPr="00DC4F35">
        <w:rPr>
          <w:lang w:eastAsia="da-DK"/>
        </w:rPr>
        <w:t xml:space="preserve"> Irelands</w:t>
      </w:r>
      <w:r w:rsidR="0036440D" w:rsidRPr="00DC4F35">
        <w:rPr>
          <w:lang w:eastAsia="da-DK"/>
        </w:rPr>
        <w:t xml:space="preserve"> underdatabehandlere (via Microsoft Corporation) sikres det nødvendige overførselsgrundlag via EU-Kommissionens standardkontraktbestemmelser. </w:t>
      </w:r>
    </w:p>
    <w:p w14:paraId="5732C41D" w14:textId="77777777" w:rsidR="0036440D" w:rsidRPr="00DC4F35" w:rsidRDefault="0036440D" w:rsidP="0036440D">
      <w:pPr>
        <w:rPr>
          <w:lang w:eastAsia="da-DK"/>
        </w:rPr>
      </w:pPr>
    </w:p>
    <w:p w14:paraId="519A6314" w14:textId="77777777" w:rsidR="0036440D" w:rsidRPr="00DC4F35" w:rsidRDefault="0036440D" w:rsidP="0036440D">
      <w:pPr>
        <w:pStyle w:val="Overskrift1"/>
      </w:pPr>
      <w:bookmarkStart w:id="112" w:name="_Toc66959796"/>
      <w:bookmarkStart w:id="113" w:name="_Toc170824055"/>
      <w:r w:rsidRPr="00DC4F35">
        <w:t>Trin 6: Foretag Løbende evaluering og tilsyn</w:t>
      </w:r>
      <w:bookmarkEnd w:id="112"/>
      <w:bookmarkEnd w:id="113"/>
    </w:p>
    <w:p w14:paraId="2AD7C83D" w14:textId="77777777" w:rsidR="0036440D" w:rsidRPr="00DC4F35" w:rsidRDefault="0036440D" w:rsidP="0036440D">
      <w:pPr>
        <w:rPr>
          <w:lang w:eastAsia="da-DK"/>
        </w:rPr>
      </w:pPr>
      <w:r w:rsidRPr="00DC4F35">
        <w:rPr>
          <w:lang w:eastAsia="da-DK"/>
        </w:rPr>
        <w:t>Det er aftalt, at:</w:t>
      </w:r>
    </w:p>
    <w:p w14:paraId="33299B10" w14:textId="77777777" w:rsidR="0036440D" w:rsidRPr="00DC4F35" w:rsidRDefault="0036440D" w:rsidP="0036440D">
      <w:pPr>
        <w:rPr>
          <w:highlight w:val="yellow"/>
          <w:lang w:eastAsia="da-DK"/>
        </w:rPr>
      </w:pPr>
    </w:p>
    <w:p w14:paraId="36ED7ED6" w14:textId="398FA8B8" w:rsidR="0036440D" w:rsidRPr="00DC4F35" w:rsidRDefault="009B6FBB" w:rsidP="0036440D">
      <w:pPr>
        <w:ind w:left="1418" w:hanging="425"/>
        <w:rPr>
          <w:rFonts w:cstheme="minorHAnsi"/>
        </w:rPr>
      </w:pPr>
      <w:sdt>
        <w:sdtPr>
          <w:rPr>
            <w:rFonts w:cstheme="minorHAnsi"/>
          </w:rPr>
          <w:id w:val="2100525777"/>
          <w14:checkbox>
            <w14:checked w14:val="1"/>
            <w14:checkedState w14:val="2612" w14:font="MS Gothic"/>
            <w14:uncheckedState w14:val="2610" w14:font="MS Gothic"/>
          </w14:checkbox>
        </w:sdtPr>
        <w:sdtEndPr/>
        <w:sdtContent>
          <w:r w:rsidR="00016408">
            <w:rPr>
              <w:rFonts w:ascii="MS Gothic" w:eastAsia="MS Gothic" w:hAnsi="MS Gothic" w:cstheme="minorHAnsi" w:hint="eastAsia"/>
            </w:rPr>
            <w:t>☒</w:t>
          </w:r>
        </w:sdtContent>
      </w:sdt>
      <w:r w:rsidR="0036440D" w:rsidRPr="00DC4F35">
        <w:rPr>
          <w:rFonts w:cstheme="minorHAnsi"/>
        </w:rPr>
        <w:t xml:space="preserve"> </w:t>
      </w:r>
      <w:r w:rsidR="0036440D" w:rsidRPr="00DC4F35">
        <w:rPr>
          <w:rFonts w:cstheme="minorHAnsi"/>
        </w:rPr>
        <w:tab/>
        <w:t xml:space="preserve">Denne TIA evalueres og revideres årligt og første gang den </w:t>
      </w:r>
      <w:r w:rsidR="00016408">
        <w:rPr>
          <w:rFonts w:cstheme="minorHAnsi"/>
        </w:rPr>
        <w:t>1. marts 2025</w:t>
      </w:r>
    </w:p>
    <w:p w14:paraId="5027BBFF" w14:textId="77777777" w:rsidR="0036440D" w:rsidRPr="00DC4F35" w:rsidRDefault="0036440D" w:rsidP="0036440D">
      <w:pPr>
        <w:ind w:left="993"/>
        <w:rPr>
          <w:lang w:eastAsia="da-DK"/>
        </w:rPr>
      </w:pPr>
    </w:p>
    <w:p w14:paraId="1F6400D4" w14:textId="5DC49C2C" w:rsidR="0036440D" w:rsidRPr="00DC4F35" w:rsidRDefault="0036440D" w:rsidP="0036440D">
      <w:pPr>
        <w:rPr>
          <w:lang w:eastAsia="da-DK"/>
        </w:rPr>
      </w:pPr>
      <w:r w:rsidRPr="00DC4F35">
        <w:rPr>
          <w:lang w:eastAsia="da-DK"/>
        </w:rPr>
        <w:t xml:space="preserve">Følgende person(er)/enhed er ansvarlig for evalueringen og revideringen: </w:t>
      </w:r>
      <w:r w:rsidR="00016408">
        <w:rPr>
          <w:lang w:eastAsia="da-DK"/>
        </w:rPr>
        <w:t>databeskyttelsesenheden i Statens Indkøb og JURA</w:t>
      </w:r>
    </w:p>
    <w:p w14:paraId="5A807AAA" w14:textId="77777777" w:rsidR="0036440D" w:rsidRPr="00DC4F35" w:rsidRDefault="0036440D" w:rsidP="0036440D">
      <w:pPr>
        <w:rPr>
          <w:lang w:eastAsia="da-DK"/>
        </w:rPr>
      </w:pPr>
    </w:p>
    <w:p w14:paraId="0DEEA7B3" w14:textId="3393ABC7" w:rsidR="0036440D" w:rsidRDefault="0036440D" w:rsidP="0036440D">
      <w:pPr>
        <w:rPr>
          <w:lang w:eastAsia="da-DK"/>
        </w:rPr>
      </w:pPr>
      <w:r w:rsidRPr="00DC4F35">
        <w:rPr>
          <w:lang w:eastAsia="da-DK"/>
        </w:rPr>
        <w:t xml:space="preserve">Tilsyn med kontraktens overholdelse, herunder ift. standardbestemmelser og supplerende foranstaltninger foretages på følgende måde og med følgende interval (beskriv nærmere): </w:t>
      </w:r>
    </w:p>
    <w:p w14:paraId="4331B028" w14:textId="77777777" w:rsidR="00016408" w:rsidRPr="00DC4F35" w:rsidRDefault="00016408" w:rsidP="0036440D">
      <w:pPr>
        <w:rPr>
          <w:lang w:eastAsia="da-DK"/>
        </w:rPr>
      </w:pPr>
    </w:p>
    <w:p w14:paraId="75B37821" w14:textId="44365C4B" w:rsidR="009650F7" w:rsidRPr="00DC4F35" w:rsidRDefault="00016408" w:rsidP="0036440D">
      <w:pPr>
        <w:rPr>
          <w:lang w:eastAsia="da-DK"/>
        </w:rPr>
      </w:pPr>
      <w:r>
        <w:rPr>
          <w:rFonts w:cstheme="minorHAnsi"/>
        </w:rPr>
        <w:t xml:space="preserve">Opfølgning med kontrakten følger den ordinære kadence for kontraktstyring, hvor der kvartalsvis følges op med licens-partneren, herunder suppleres der med et årligt tilsynsmøde, der er fastsat efter Datatilsynets vejledning om tilsynskoncepter model 3, hvilket suppleres med audit af Microsoft hvert 2. år. </w:t>
      </w:r>
      <w:bookmarkEnd w:id="2"/>
    </w:p>
    <w:sectPr w:rsidR="009650F7" w:rsidRPr="00DC4F35" w:rsidSect="00E96D11">
      <w:headerReference w:type="even" r:id="rId19"/>
      <w:headerReference w:type="default" r:id="rId20"/>
      <w:footerReference w:type="default" r:id="rId21"/>
      <w:headerReference w:type="first" r:id="rId22"/>
      <w:footerReference w:type="first" r:id="rId23"/>
      <w:pgSz w:w="11906" w:h="16838" w:code="9"/>
      <w:pgMar w:top="2665" w:right="1134" w:bottom="2268" w:left="1134"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F41A1" w14:textId="77777777" w:rsidR="009B6FBB" w:rsidRPr="00DC4F35" w:rsidRDefault="009B6FBB" w:rsidP="009E4B94">
      <w:pPr>
        <w:spacing w:line="240" w:lineRule="auto"/>
      </w:pPr>
      <w:r w:rsidRPr="00DC4F35">
        <w:separator/>
      </w:r>
    </w:p>
    <w:p w14:paraId="0BF572D7" w14:textId="77777777" w:rsidR="009B6FBB" w:rsidRPr="00DC4F35" w:rsidRDefault="009B6FBB"/>
  </w:endnote>
  <w:endnote w:type="continuationSeparator" w:id="0">
    <w:p w14:paraId="4E19F113" w14:textId="77777777" w:rsidR="009B6FBB" w:rsidRPr="00DC4F35" w:rsidRDefault="009B6FBB" w:rsidP="009E4B94">
      <w:pPr>
        <w:spacing w:line="240" w:lineRule="auto"/>
      </w:pPr>
      <w:r w:rsidRPr="00DC4F35">
        <w:continuationSeparator/>
      </w:r>
    </w:p>
    <w:p w14:paraId="54423D7E" w14:textId="77777777" w:rsidR="009B6FBB" w:rsidRPr="00DC4F35" w:rsidRDefault="009B6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exusSansWebPr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3C1B" w14:textId="77777777" w:rsidR="00C83C91" w:rsidRPr="00DC4F35" w:rsidRDefault="00C83C91" w:rsidP="00094309">
    <w:pPr>
      <w:pStyle w:val="Footer-Line"/>
    </w:pPr>
  </w:p>
  <w:p w14:paraId="150EA37D" w14:textId="43303FF3" w:rsidR="00C83C91" w:rsidRPr="00DC4F35" w:rsidRDefault="009B6FBB" w:rsidP="00E96D11">
    <w:pPr>
      <w:pStyle w:val="Sidefod"/>
      <w:spacing w:after="60"/>
      <w:jc w:val="right"/>
      <w:rPr>
        <w:rStyle w:val="Sidetal"/>
      </w:rPr>
    </w:pPr>
    <w:sdt>
      <w:sdtPr>
        <w:rPr>
          <w:rStyle w:val="Sidetal"/>
        </w:rPr>
        <w:alias w:val="Page"/>
        <w:tag w:val="{&quot;templafy&quot;:{&quot;id&quot;:&quot;67387efe-a133-48ba-9e0e-f82a585fc26e&quot;}}"/>
        <w:id w:val="1419525642"/>
        <w:placeholder>
          <w:docPart w:val="1A4EC07D64DE45C2897EFBDE8CE03490"/>
        </w:placeholder>
      </w:sdtPr>
      <w:sdtEndPr>
        <w:rPr>
          <w:rStyle w:val="Sidetal"/>
        </w:rPr>
      </w:sdtEndPr>
      <w:sdtContent>
        <w:r w:rsidR="00C83C91" w:rsidRPr="00DC4F35">
          <w:rPr>
            <w:rStyle w:val="Sidetal"/>
          </w:rPr>
          <w:t>Side</w:t>
        </w:r>
      </w:sdtContent>
    </w:sdt>
    <w:r w:rsidR="00C83C91" w:rsidRPr="00DC4F35">
      <w:rPr>
        <w:rStyle w:val="Sidetal"/>
      </w:rPr>
      <w:t xml:space="preserve"> </w:t>
    </w:r>
    <w:r w:rsidR="00C83C91" w:rsidRPr="00DC4F35">
      <w:rPr>
        <w:rStyle w:val="Sidetal"/>
      </w:rPr>
      <w:fldChar w:fldCharType="begin"/>
    </w:r>
    <w:r w:rsidR="00C83C91" w:rsidRPr="00DC4F35">
      <w:rPr>
        <w:rStyle w:val="Sidetal"/>
      </w:rPr>
      <w:instrText xml:space="preserve"> PAGE  </w:instrText>
    </w:r>
    <w:r w:rsidR="00C83C91" w:rsidRPr="00DC4F35">
      <w:rPr>
        <w:rStyle w:val="Sidetal"/>
      </w:rPr>
      <w:fldChar w:fldCharType="separate"/>
    </w:r>
    <w:r w:rsidR="00DA35FA">
      <w:rPr>
        <w:rStyle w:val="Sidetal"/>
        <w:noProof/>
      </w:rPr>
      <w:t>99</w:t>
    </w:r>
    <w:r w:rsidR="00C83C91" w:rsidRPr="00DC4F35">
      <w:rPr>
        <w:rStyle w:val="Sidetal"/>
      </w:rPr>
      <w:fldChar w:fldCharType="end"/>
    </w:r>
    <w:r w:rsidR="00C83C91" w:rsidRPr="00DC4F35">
      <w:rPr>
        <w:rStyle w:val="Sidetal"/>
      </w:rPr>
      <w:t xml:space="preserve"> / </w:t>
    </w:r>
    <w:r w:rsidR="00C83C91" w:rsidRPr="00DC4F35">
      <w:rPr>
        <w:rStyle w:val="Sidetal"/>
      </w:rPr>
      <w:fldChar w:fldCharType="begin"/>
    </w:r>
    <w:r w:rsidR="00C83C91" w:rsidRPr="00DC4F35">
      <w:rPr>
        <w:rStyle w:val="Sidetal"/>
      </w:rPr>
      <w:instrText xml:space="preserve"> NUMPAGES  </w:instrText>
    </w:r>
    <w:r w:rsidR="00C83C91" w:rsidRPr="00DC4F35">
      <w:rPr>
        <w:rStyle w:val="Sidetal"/>
      </w:rPr>
      <w:fldChar w:fldCharType="separate"/>
    </w:r>
    <w:r w:rsidR="00DA35FA">
      <w:rPr>
        <w:rStyle w:val="Sidetal"/>
        <w:noProof/>
      </w:rPr>
      <w:t>100</w:t>
    </w:r>
    <w:r w:rsidR="00C83C91" w:rsidRPr="00DC4F35">
      <w:rPr>
        <w:rStyle w:val="Sidetal"/>
      </w:rPr>
      <w:fldChar w:fldCharType="end"/>
    </w:r>
  </w:p>
  <w:p w14:paraId="6DA2B76B" w14:textId="77777777" w:rsidR="00C83C91" w:rsidRPr="00DC4F35" w:rsidRDefault="00C83C91" w:rsidP="00E96D11">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FABE5" w14:textId="77777777" w:rsidR="00C83C91" w:rsidRPr="00DC4F35" w:rsidRDefault="00C83C91" w:rsidP="002B35EB">
    <w:pPr>
      <w:pStyle w:val="TemplateAddress-Line"/>
    </w:pPr>
  </w:p>
  <w:tbl>
    <w:tblPr>
      <w:tblStyle w:val="Blank"/>
      <w:tblW w:w="10771" w:type="dxa"/>
      <w:tblInd w:w="-567" w:type="dxa"/>
      <w:tblLayout w:type="fixed"/>
      <w:tblLook w:val="04A0" w:firstRow="1" w:lastRow="0" w:firstColumn="1" w:lastColumn="0" w:noHBand="0" w:noVBand="1"/>
    </w:tblPr>
    <w:tblGrid>
      <w:gridCol w:w="2426"/>
      <w:gridCol w:w="1780"/>
      <w:gridCol w:w="2693"/>
      <w:gridCol w:w="3872"/>
    </w:tblGrid>
    <w:tr w:rsidR="00C83C91" w:rsidRPr="00DC4F35" w14:paraId="6B17CC3E" w14:textId="77777777" w:rsidTr="00C23FC8">
      <w:tc>
        <w:tcPr>
          <w:tcW w:w="2426" w:type="dxa"/>
        </w:tcPr>
        <w:sdt>
          <w:sdtPr>
            <w:alias w:val="CityOne"/>
            <w:tag w:val="{&quot;templafy&quot;:{&quot;id&quot;:&quot;55d216a1-8a04-4c8b-a4aa-a7f9ceee0adc&quot;}}"/>
            <w:id w:val="-1466029480"/>
            <w:placeholder>
              <w:docPart w:val="109E96CEF6F24659BF24014A0A061843"/>
            </w:placeholder>
          </w:sdtPr>
          <w:sdtEndPr/>
          <w:sdtContent>
            <w:p w14:paraId="3D6240D1" w14:textId="7BC14BEA" w:rsidR="00C83C91" w:rsidRPr="00DC4F35" w:rsidRDefault="00C83C91">
              <w:pPr>
                <w:pStyle w:val="Template-Virksomhedsnavn"/>
              </w:pPr>
              <w:r w:rsidRPr="00DC4F35">
                <w:t>København</w:t>
              </w:r>
            </w:p>
          </w:sdtContent>
        </w:sdt>
        <w:sdt>
          <w:sdtPr>
            <w:alias w:val="AddressOne"/>
            <w:tag w:val="{&quot;templafy&quot;:{&quot;id&quot;:&quot;92d2a578-d506-4e40-9974-f4a36e827beb&quot;}}"/>
            <w:id w:val="-1076277366"/>
            <w:placeholder>
              <w:docPart w:val="ECEF413C82CF4A1A98CF942B74C53C59"/>
            </w:placeholder>
          </w:sdtPr>
          <w:sdtEndPr/>
          <w:sdtContent>
            <w:p w14:paraId="7441DF29" w14:textId="77777777" w:rsidR="00C83C91" w:rsidRPr="00DC4F35" w:rsidRDefault="00C83C91">
              <w:pPr>
                <w:pStyle w:val="Template-Adresse"/>
              </w:pPr>
              <w:r w:rsidRPr="00DC4F35">
                <w:t>Kalvebod Brygge 32</w:t>
              </w:r>
            </w:p>
            <w:p w14:paraId="00CBB49C" w14:textId="1E1B1B5D" w:rsidR="00C83C91" w:rsidRPr="00DC4F35" w:rsidRDefault="00C83C91">
              <w:pPr>
                <w:pStyle w:val="Template-Adresse"/>
              </w:pPr>
              <w:r w:rsidRPr="00DC4F35">
                <w:t>DK-1560 København V</w:t>
              </w:r>
            </w:p>
          </w:sdtContent>
        </w:sdt>
      </w:tc>
      <w:tc>
        <w:tcPr>
          <w:tcW w:w="1780" w:type="dxa"/>
        </w:tcPr>
        <w:sdt>
          <w:sdtPr>
            <w:alias w:val="CityTwo"/>
            <w:tag w:val="{&quot;templafy&quot;:{&quot;id&quot;:&quot;82843fc5-d0ed-4085-bc75-52dde34e6e81&quot;}}"/>
            <w:id w:val="-1838450814"/>
            <w:placeholder>
              <w:docPart w:val="109E96CEF6F24659BF24014A0A061843"/>
            </w:placeholder>
          </w:sdtPr>
          <w:sdtEndPr/>
          <w:sdtContent>
            <w:p w14:paraId="21DC64F8" w14:textId="019F133E" w:rsidR="00C83C91" w:rsidRPr="00DC4F35" w:rsidRDefault="00C83C91">
              <w:pPr>
                <w:pStyle w:val="Template-Virksomhedsnavn"/>
              </w:pPr>
              <w:r w:rsidRPr="00DC4F35">
                <w:t>Aarhus</w:t>
              </w:r>
            </w:p>
          </w:sdtContent>
        </w:sdt>
        <w:sdt>
          <w:sdtPr>
            <w:alias w:val="AddressTwo"/>
            <w:tag w:val="{&quot;templafy&quot;:{&quot;id&quot;:&quot;511c0706-9f99-4828-b7af-9f5c8a484e94&quot;}}"/>
            <w:id w:val="-624614085"/>
            <w:placeholder>
              <w:docPart w:val="109E96CEF6F24659BF24014A0A061843"/>
            </w:placeholder>
          </w:sdtPr>
          <w:sdtEndPr/>
          <w:sdtContent>
            <w:p w14:paraId="1686D141" w14:textId="77777777" w:rsidR="00C83C91" w:rsidRPr="00DC4F35" w:rsidRDefault="00C83C91">
              <w:pPr>
                <w:pStyle w:val="Template-Adresse"/>
              </w:pPr>
              <w:r w:rsidRPr="00DC4F35">
                <w:t>Europaplads 8</w:t>
              </w:r>
            </w:p>
            <w:p w14:paraId="4C931833" w14:textId="4D167145" w:rsidR="00C83C91" w:rsidRPr="00DC4F35" w:rsidRDefault="00C83C91">
              <w:pPr>
                <w:pStyle w:val="Template-Adresse"/>
              </w:pPr>
              <w:r w:rsidRPr="00DC4F35">
                <w:t>DK-8000 Aarhus C</w:t>
              </w:r>
            </w:p>
          </w:sdtContent>
        </w:sdt>
      </w:tc>
      <w:tc>
        <w:tcPr>
          <w:tcW w:w="2693" w:type="dxa"/>
        </w:tcPr>
        <w:sdt>
          <w:sdtPr>
            <w:tag w:val="{&quot;templafy&quot;:{&quot;id&quot;:&quot;4abda297-f322-4a02-adb8-69e29c3cf59d&quot;}}"/>
            <w:id w:val="707078029"/>
            <w:placeholder>
              <w:docPart w:val="109E96CEF6F24659BF24014A0A061843"/>
            </w:placeholder>
          </w:sdtPr>
          <w:sdtEndPr/>
          <w:sdtContent>
            <w:p w14:paraId="42144C95" w14:textId="77777777" w:rsidR="00C83C91" w:rsidRPr="001C19E7" w:rsidRDefault="00C83C91" w:rsidP="002B35EB">
              <w:pPr>
                <w:pStyle w:val="Template-Adresse"/>
                <w:spacing w:before="260"/>
                <w:rPr>
                  <w:lang w:val="fr-FR"/>
                </w:rPr>
              </w:pPr>
              <w:r w:rsidRPr="001C19E7">
                <w:rPr>
                  <w:lang w:val="fr-FR"/>
                </w:rPr>
                <w:t>T</w:t>
              </w:r>
              <w:r w:rsidRPr="001C19E7">
                <w:rPr>
                  <w:lang w:val="fr-FR"/>
                </w:rPr>
                <w:tab/>
              </w:r>
              <w:sdt>
                <w:sdtPr>
                  <w:alias w:val="Phone"/>
                  <w:tag w:val="{&quot;templafy&quot;:{&quot;id&quot;:&quot;81b07bc3-1d79-4772-9cd6-e7922cb98c6d&quot;}}"/>
                  <w:id w:val="1914042323"/>
                  <w:placeholder>
                    <w:docPart w:val="109E96CEF6F24659BF24014A0A061843"/>
                  </w:placeholder>
                </w:sdtPr>
                <w:sdtEndPr/>
                <w:sdtContent>
                  <w:r w:rsidRPr="001C19E7">
                    <w:rPr>
                      <w:lang w:val="fr-FR"/>
                    </w:rPr>
                    <w:t>+45 33 15 20 10</w:t>
                  </w:r>
                </w:sdtContent>
              </w:sdt>
            </w:p>
          </w:sdtContent>
        </w:sdt>
        <w:sdt>
          <w:sdtPr>
            <w:alias w:val="FooterMail"/>
            <w:id w:val="1878044191"/>
            <w:placeholder>
              <w:docPart w:val="109E96CEF6F24659BF24014A0A061843"/>
            </w:placeholder>
          </w:sdtPr>
          <w:sdtEndPr/>
          <w:sdtContent>
            <w:p w14:paraId="1FCACF71" w14:textId="76936573" w:rsidR="00C83C91" w:rsidRPr="001C19E7" w:rsidRDefault="00C83C91" w:rsidP="002B35EB">
              <w:pPr>
                <w:pStyle w:val="Template-Adresse"/>
                <w:rPr>
                  <w:lang w:val="fr-FR"/>
                </w:rPr>
              </w:pPr>
              <w:r w:rsidRPr="001C19E7">
                <w:rPr>
                  <w:lang w:val="fr-FR"/>
                </w:rPr>
                <w:t>@</w:t>
              </w:r>
              <w:r w:rsidRPr="001C19E7">
                <w:rPr>
                  <w:lang w:val="fr-FR"/>
                </w:rPr>
                <w:tab/>
              </w:r>
              <w:sdt>
                <w:sdtPr>
                  <w:alias w:val="Mail"/>
                  <w:tag w:val="{&quot;SkabelonDesign&quot;:{&quot;type&quot;:&quot;Text&quot;,&quot;binding&quot;:&quot;Footer.mail&quot;}}"/>
                  <w:id w:val="-1273162707"/>
                  <w:placeholder>
                    <w:docPart w:val="109E96CEF6F24659BF24014A0A061843"/>
                  </w:placeholder>
                </w:sdtPr>
                <w:sdtEndPr/>
                <w:sdtContent>
                  <w:r w:rsidRPr="001C19E7">
                    <w:rPr>
                      <w:lang w:val="fr-FR"/>
                    </w:rPr>
                    <w:t>mail@kammeradvokaten.dk</w:t>
                  </w:r>
                </w:sdtContent>
              </w:sdt>
            </w:p>
          </w:sdtContent>
        </w:sdt>
        <w:sdt>
          <w:sdtPr>
            <w:alias w:val="FooterWeb"/>
            <w:id w:val="-511682998"/>
            <w:placeholder>
              <w:docPart w:val="109E96CEF6F24659BF24014A0A061843"/>
            </w:placeholder>
          </w:sdtPr>
          <w:sdtEndPr/>
          <w:sdtContent>
            <w:p w14:paraId="4284D753" w14:textId="38A2A647" w:rsidR="00C83C91" w:rsidRPr="001C19E7" w:rsidRDefault="00C83C91" w:rsidP="002B35EB">
              <w:pPr>
                <w:pStyle w:val="Template-Adresse"/>
                <w:rPr>
                  <w:lang w:val="fr-FR"/>
                </w:rPr>
              </w:pPr>
              <w:r w:rsidRPr="001C19E7">
                <w:rPr>
                  <w:lang w:val="fr-FR"/>
                </w:rPr>
                <w:t>w</w:t>
              </w:r>
              <w:r w:rsidRPr="001C19E7">
                <w:rPr>
                  <w:lang w:val="fr-FR"/>
                </w:rPr>
                <w:tab/>
              </w:r>
              <w:sdt>
                <w:sdtPr>
                  <w:alias w:val="Web"/>
                  <w:tag w:val="{&quot;SkabelonDesign&quot;:{&quot;type&quot;:&quot;Text&quot;,&quot;binding&quot;:&quot;Footer.web&quot;}}"/>
                  <w:id w:val="-85858957"/>
                  <w:placeholder>
                    <w:docPart w:val="109E96CEF6F24659BF24014A0A061843"/>
                  </w:placeholder>
                </w:sdtPr>
                <w:sdtEndPr/>
                <w:sdtContent>
                  <w:r w:rsidRPr="001C19E7">
                    <w:rPr>
                      <w:lang w:val="fr-FR"/>
                    </w:rPr>
                    <w:t>www.kammeradvokaten.dk</w:t>
                  </w:r>
                </w:sdtContent>
              </w:sdt>
            </w:p>
          </w:sdtContent>
        </w:sdt>
      </w:tc>
      <w:tc>
        <w:tcPr>
          <w:tcW w:w="3872" w:type="dxa"/>
          <w:vAlign w:val="bottom"/>
        </w:tcPr>
        <w:sdt>
          <w:sdtPr>
            <w:alias w:val="PrivacyPolicyFooter"/>
            <w:id w:val="-333078069"/>
            <w:placeholder>
              <w:docPart w:val="B67DA011795A4AF7BA0B3A4E11E4CC13"/>
            </w:placeholder>
          </w:sdtPr>
          <w:sdtEndPr/>
          <w:sdtContent>
            <w:p w14:paraId="5E56A6E0" w14:textId="77777777" w:rsidR="00C83C91" w:rsidRPr="00720E51" w:rsidRDefault="00C83C91" w:rsidP="00C83C91">
              <w:pPr>
                <w:pStyle w:val="Template-Adresse"/>
                <w:spacing w:before="260"/>
                <w:ind w:left="193"/>
                <w:jc w:val="right"/>
              </w:pPr>
              <w:r w:rsidRPr="00720E51">
                <w:t>CVR: 64 95 28 11</w:t>
              </w:r>
            </w:p>
            <w:p w14:paraId="3D4CD05E" w14:textId="77777777" w:rsidR="00C83C91" w:rsidRDefault="00C83C91" w:rsidP="00C83C91">
              <w:pPr>
                <w:pStyle w:val="Template-Adresse"/>
                <w:jc w:val="right"/>
              </w:pPr>
              <w:r>
                <w:t>sådan håndterer</w:t>
              </w:r>
              <w:r w:rsidRPr="004E2663">
                <w:t xml:space="preserve"> </w:t>
              </w:r>
              <w:r>
                <w:t>vi dine persono</w:t>
              </w:r>
              <w:r w:rsidRPr="004E2663">
                <w:t>plysninger</w:t>
              </w:r>
            </w:p>
            <w:p w14:paraId="7D456A9C" w14:textId="333B72E2" w:rsidR="00C83C91" w:rsidRPr="00DC4F35" w:rsidRDefault="009B6FBB" w:rsidP="00DC4F35">
              <w:pPr>
                <w:pStyle w:val="Template-Adresse"/>
                <w:jc w:val="right"/>
              </w:pPr>
              <w:hyperlink r:id="rId1" w:history="1">
                <w:r w:rsidR="00C83C91">
                  <w:rPr>
                    <w:b/>
                    <w:bCs/>
                  </w:rPr>
                  <w:t>kammeradvokaten.dk/personoplysninger</w:t>
                </w:r>
              </w:hyperlink>
            </w:p>
          </w:sdtContent>
        </w:sdt>
      </w:tc>
    </w:tr>
  </w:tbl>
  <w:p w14:paraId="0B03642F" w14:textId="77777777" w:rsidR="00C83C91" w:rsidRPr="00DC4F35" w:rsidRDefault="00C83C91" w:rsidP="002B35EB">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B7C8" w14:textId="77777777" w:rsidR="009B6FBB" w:rsidRPr="00DC4F35" w:rsidRDefault="009B6FBB" w:rsidP="00102C35">
      <w:pPr>
        <w:spacing w:line="240" w:lineRule="auto"/>
      </w:pPr>
      <w:r w:rsidRPr="00DC4F35">
        <w:separator/>
      </w:r>
    </w:p>
  </w:footnote>
  <w:footnote w:type="continuationSeparator" w:id="0">
    <w:p w14:paraId="6DD5F4F3" w14:textId="77777777" w:rsidR="009B6FBB" w:rsidRPr="00DC4F35" w:rsidRDefault="009B6FBB" w:rsidP="00102C35">
      <w:pPr>
        <w:spacing w:line="240" w:lineRule="auto"/>
      </w:pPr>
      <w:r w:rsidRPr="00DC4F35">
        <w:continuationSeparator/>
      </w:r>
    </w:p>
  </w:footnote>
  <w:footnote w:id="1">
    <w:p w14:paraId="5C37F972" w14:textId="77777777" w:rsidR="00C83C91" w:rsidRPr="001C19E7" w:rsidRDefault="00C83C91" w:rsidP="00B96F8A">
      <w:pPr>
        <w:pStyle w:val="Fodnotetekst"/>
        <w:rPr>
          <w:lang w:val="en-US"/>
        </w:rPr>
      </w:pPr>
      <w:r w:rsidRPr="00DC4F35">
        <w:rPr>
          <w:rStyle w:val="Fodnotehenvisning"/>
        </w:rPr>
        <w:footnoteRef/>
      </w:r>
      <w:r w:rsidRPr="001C19E7">
        <w:rPr>
          <w:lang w:val="en-US"/>
        </w:rPr>
        <w:t xml:space="preserve"> Product Terms side 20. </w:t>
      </w:r>
    </w:p>
  </w:footnote>
  <w:footnote w:id="2">
    <w:p w14:paraId="6A697DBA" w14:textId="77777777" w:rsidR="00C83C91" w:rsidRPr="001C19E7" w:rsidRDefault="00C83C91" w:rsidP="00B96F8A">
      <w:pPr>
        <w:pStyle w:val="Fodnotetekst"/>
        <w:rPr>
          <w:lang w:val="en-US"/>
        </w:rPr>
      </w:pPr>
      <w:r w:rsidRPr="00DC4F35">
        <w:rPr>
          <w:rStyle w:val="Fodnotehenvisning"/>
        </w:rPr>
        <w:footnoteRef/>
      </w:r>
      <w:r w:rsidRPr="001C19E7">
        <w:rPr>
          <w:lang w:val="en-US"/>
        </w:rPr>
        <w:t xml:space="preserve"> Product Terms side 23. </w:t>
      </w:r>
    </w:p>
  </w:footnote>
  <w:footnote w:id="3">
    <w:p w14:paraId="6C093750" w14:textId="77777777" w:rsidR="00C83C91" w:rsidRPr="001C19E7" w:rsidRDefault="00C83C91" w:rsidP="00B96F8A">
      <w:pPr>
        <w:pStyle w:val="Fodnotetekst"/>
        <w:rPr>
          <w:lang w:val="en-US"/>
        </w:rPr>
      </w:pPr>
      <w:r w:rsidRPr="00DC4F35">
        <w:rPr>
          <w:rStyle w:val="Fodnotehenvisning"/>
        </w:rPr>
        <w:footnoteRef/>
      </w:r>
      <w:r w:rsidRPr="001C19E7">
        <w:rPr>
          <w:lang w:val="en-US"/>
        </w:rPr>
        <w:t xml:space="preserve"> EU Data Boundary </w:t>
      </w:r>
      <w:proofErr w:type="spellStart"/>
      <w:r w:rsidRPr="001C19E7">
        <w:rPr>
          <w:lang w:val="en-US"/>
        </w:rPr>
        <w:t>dokumentationen</w:t>
      </w:r>
      <w:proofErr w:type="spellEnd"/>
      <w:r w:rsidRPr="001C19E7">
        <w:rPr>
          <w:lang w:val="en-US"/>
        </w:rPr>
        <w:t>, “On-premises software and client applications”.</w:t>
      </w:r>
    </w:p>
  </w:footnote>
  <w:footnote w:id="4">
    <w:p w14:paraId="215D2FBA" w14:textId="3EA2996A" w:rsidR="00C83C91" w:rsidRPr="001C19E7" w:rsidRDefault="00C83C91" w:rsidP="00A50496">
      <w:pPr>
        <w:pStyle w:val="Fodnotetekst"/>
        <w:rPr>
          <w:lang w:val="en-US"/>
        </w:rPr>
      </w:pPr>
      <w:r w:rsidRPr="00DC4F35">
        <w:rPr>
          <w:rStyle w:val="Fodnotehenvisning"/>
        </w:rPr>
        <w:footnoteRef/>
      </w:r>
      <w:r w:rsidRPr="001C19E7">
        <w:rPr>
          <w:lang w:val="en-US"/>
        </w:rPr>
        <w:t xml:space="preserve"> Microsoft Irelands </w:t>
      </w:r>
      <w:proofErr w:type="spellStart"/>
      <w:r w:rsidRPr="001C19E7">
        <w:rPr>
          <w:lang w:val="en-US"/>
        </w:rPr>
        <w:t>databehandleraftale</w:t>
      </w:r>
      <w:proofErr w:type="spellEnd"/>
      <w:r w:rsidRPr="001C19E7">
        <w:rPr>
          <w:lang w:val="en-US"/>
        </w:rPr>
        <w:t xml:space="preserve">, side 9, “Data Transfers and Location”.  </w:t>
      </w:r>
    </w:p>
  </w:footnote>
  <w:footnote w:id="5">
    <w:p w14:paraId="75F63817" w14:textId="77777777" w:rsidR="00C83C91" w:rsidRPr="001C19E7" w:rsidRDefault="00C83C91" w:rsidP="00B96F8A">
      <w:pPr>
        <w:pStyle w:val="Fodnotetekst"/>
        <w:rPr>
          <w:lang w:val="en-US"/>
        </w:rPr>
      </w:pPr>
      <w:r w:rsidRPr="00DC4F35">
        <w:rPr>
          <w:rStyle w:val="Fodnotehenvisning"/>
        </w:rPr>
        <w:footnoteRef/>
      </w:r>
      <w:r w:rsidRPr="001C19E7">
        <w:rPr>
          <w:lang w:val="en-US"/>
        </w:rPr>
        <w:t xml:space="preserve"> EU Data Boundary </w:t>
      </w:r>
      <w:proofErr w:type="spellStart"/>
      <w:r w:rsidRPr="001C19E7">
        <w:rPr>
          <w:lang w:val="en-US"/>
        </w:rPr>
        <w:t>dokumentationen</w:t>
      </w:r>
      <w:proofErr w:type="spellEnd"/>
      <w:r w:rsidRPr="001C19E7">
        <w:rPr>
          <w:lang w:val="en-US"/>
        </w:rPr>
        <w:t xml:space="preserve"> (“Microsoft 365 Applications”, “Research”). </w:t>
      </w:r>
    </w:p>
  </w:footnote>
  <w:footnote w:id="6">
    <w:p w14:paraId="01D2C744" w14:textId="77777777" w:rsidR="00C83C91" w:rsidRPr="001C19E7" w:rsidRDefault="00C83C91" w:rsidP="00B96F8A">
      <w:pPr>
        <w:pStyle w:val="Fodnotetekst"/>
        <w:rPr>
          <w:lang w:val="en-US"/>
        </w:rPr>
      </w:pPr>
      <w:r w:rsidRPr="00DC4F35">
        <w:rPr>
          <w:rStyle w:val="Fodnotehenvisning"/>
        </w:rPr>
        <w:footnoteRef/>
      </w:r>
      <w:r w:rsidRPr="001C19E7">
        <w:rPr>
          <w:lang w:val="en-US"/>
        </w:rPr>
        <w:t xml:space="preserve"> EU Data Boundary </w:t>
      </w:r>
      <w:proofErr w:type="spellStart"/>
      <w:r w:rsidRPr="001C19E7">
        <w:rPr>
          <w:lang w:val="en-US"/>
        </w:rPr>
        <w:t>dokumentationen</w:t>
      </w:r>
      <w:proofErr w:type="spellEnd"/>
      <w:r w:rsidRPr="001C19E7">
        <w:rPr>
          <w:lang w:val="en-US"/>
        </w:rPr>
        <w:t xml:space="preserve"> (“Microsoft 365 Applications”, “Shared Channel Invitations”).</w:t>
      </w:r>
    </w:p>
  </w:footnote>
  <w:footnote w:id="7">
    <w:p w14:paraId="0E332764" w14:textId="77777777" w:rsidR="00C83C91" w:rsidRPr="00DC4F35" w:rsidRDefault="00C83C91" w:rsidP="00B96F8A">
      <w:pPr>
        <w:pStyle w:val="Fodnotetekst"/>
      </w:pPr>
      <w:r w:rsidRPr="00DC4F35">
        <w:rPr>
          <w:rStyle w:val="Fodnotehenvisning"/>
        </w:rPr>
        <w:footnoteRef/>
      </w:r>
      <w:r w:rsidRPr="00DC4F35">
        <w:t xml:space="preserve"> Side 23 f.</w:t>
      </w:r>
    </w:p>
  </w:footnote>
  <w:footnote w:id="8">
    <w:p w14:paraId="1149D266" w14:textId="25FBD2C2" w:rsidR="00C83C91" w:rsidRPr="00DC4F35" w:rsidRDefault="00C83C91" w:rsidP="00DC0285">
      <w:pPr>
        <w:pStyle w:val="Fodnotetekst"/>
        <w:rPr>
          <w:rFonts w:cs="Segoe UI"/>
          <w:szCs w:val="16"/>
          <w:u w:val="single"/>
        </w:rPr>
      </w:pPr>
      <w:r w:rsidRPr="00DC4F35">
        <w:rPr>
          <w:rStyle w:val="Fodnotehenvisning"/>
        </w:rPr>
        <w:footnoteRef/>
      </w:r>
      <w:r w:rsidRPr="00DC4F35">
        <w:t xml:space="preserve"> Side 23 f.</w:t>
      </w:r>
    </w:p>
  </w:footnote>
  <w:footnote w:id="9">
    <w:p w14:paraId="62EC08CB" w14:textId="0FE35070" w:rsidR="00C83C91" w:rsidRPr="00DC4F35" w:rsidRDefault="00C83C91">
      <w:pPr>
        <w:pStyle w:val="Fodnotetekst"/>
      </w:pPr>
      <w:r w:rsidRPr="00DC4F35">
        <w:rPr>
          <w:rStyle w:val="Fodnotehenvisning"/>
        </w:rPr>
        <w:footnoteRef/>
      </w:r>
      <w:r w:rsidRPr="00DC4F35">
        <w:t xml:space="preserve"> Datatilsynets vejledning om cloud, marts 2022, s. 11.</w:t>
      </w:r>
    </w:p>
  </w:footnote>
  <w:footnote w:id="10">
    <w:p w14:paraId="58195271" w14:textId="77777777" w:rsidR="00C83C91" w:rsidRPr="00DC4F35" w:rsidRDefault="00C83C91" w:rsidP="00DC0285">
      <w:pPr>
        <w:pStyle w:val="Fodnotetekst"/>
      </w:pPr>
      <w:r w:rsidRPr="00DC4F35">
        <w:rPr>
          <w:rStyle w:val="Fodnotehenvisning"/>
        </w:rPr>
        <w:footnoteRef/>
      </w:r>
      <w:r w:rsidRPr="00DC4F35">
        <w:t xml:space="preserve"> EU Data </w:t>
      </w:r>
      <w:proofErr w:type="spellStart"/>
      <w:r w:rsidRPr="00DC4F35">
        <w:t>Boundary</w:t>
      </w:r>
      <w:proofErr w:type="spellEnd"/>
      <w:r w:rsidRPr="00DC4F35">
        <w:t xml:space="preserve"> dokumentationen, side 11-12.  </w:t>
      </w:r>
    </w:p>
  </w:footnote>
  <w:footnote w:id="11">
    <w:p w14:paraId="5E7CAC84" w14:textId="12F6904C" w:rsidR="00C83C91" w:rsidRPr="001C19E7" w:rsidRDefault="00C83C91" w:rsidP="00DC0285">
      <w:pPr>
        <w:pStyle w:val="Fodnotetekst"/>
        <w:rPr>
          <w:lang w:val="en-US"/>
        </w:rPr>
      </w:pPr>
      <w:r w:rsidRPr="00DC4F35">
        <w:rPr>
          <w:rStyle w:val="Fodnotehenvisning"/>
        </w:rPr>
        <w:footnoteRef/>
      </w:r>
      <w:r w:rsidRPr="001C19E7">
        <w:rPr>
          <w:lang w:val="en-US"/>
        </w:rPr>
        <w:t xml:space="preserve"> </w:t>
      </w:r>
      <w:proofErr w:type="spellStart"/>
      <w:r w:rsidRPr="001C19E7">
        <w:rPr>
          <w:lang w:val="en-US"/>
        </w:rPr>
        <w:t>Af</w:t>
      </w:r>
      <w:proofErr w:type="spellEnd"/>
      <w:r w:rsidRPr="001C19E7">
        <w:rPr>
          <w:lang w:val="en-US"/>
        </w:rPr>
        <w:t xml:space="preserve"> EU Data Boundary </w:t>
      </w:r>
      <w:proofErr w:type="spellStart"/>
      <w:r w:rsidRPr="001C19E7">
        <w:rPr>
          <w:lang w:val="en-US"/>
        </w:rPr>
        <w:t>dokumentationen</w:t>
      </w:r>
      <w:proofErr w:type="spellEnd"/>
      <w:r w:rsidRPr="001C19E7">
        <w:rPr>
          <w:lang w:val="en-US"/>
        </w:rPr>
        <w:t xml:space="preserve">, side 11, </w:t>
      </w:r>
      <w:proofErr w:type="spellStart"/>
      <w:r w:rsidRPr="001C19E7">
        <w:rPr>
          <w:lang w:val="en-US"/>
        </w:rPr>
        <w:t>fremgår</w:t>
      </w:r>
      <w:proofErr w:type="spellEnd"/>
      <w:r w:rsidRPr="001C19E7">
        <w:rPr>
          <w:lang w:val="en-US"/>
        </w:rPr>
        <w:t xml:space="preserve"> </w:t>
      </w:r>
      <w:proofErr w:type="spellStart"/>
      <w:r w:rsidRPr="001C19E7">
        <w:rPr>
          <w:lang w:val="en-US"/>
        </w:rPr>
        <w:t>bl.a</w:t>
      </w:r>
      <w:proofErr w:type="spellEnd"/>
      <w:r w:rsidRPr="001C19E7">
        <w:rPr>
          <w:lang w:val="en-US"/>
        </w:rPr>
        <w:t xml:space="preserve">. </w:t>
      </w:r>
      <w:proofErr w:type="spellStart"/>
      <w:r w:rsidRPr="001C19E7">
        <w:rPr>
          <w:lang w:val="en-US"/>
        </w:rPr>
        <w:t>følgende</w:t>
      </w:r>
      <w:proofErr w:type="spellEnd"/>
      <w:r w:rsidRPr="001C19E7">
        <w:rPr>
          <w:lang w:val="en-US"/>
        </w:rPr>
        <w:t xml:space="preserve">: “In the rare instances where Customer Data </w:t>
      </w:r>
      <w:r w:rsidRPr="001C19E7">
        <w:rPr>
          <w:u w:val="single"/>
          <w:lang w:val="en-US"/>
        </w:rPr>
        <w:t>is accessed or transferred</w:t>
      </w:r>
      <w:r w:rsidRPr="001C19E7">
        <w:rPr>
          <w:lang w:val="en-US"/>
        </w:rPr>
        <w:t xml:space="preserve"> as a result of security investigation, it is done so through elevated approvals and controls as set forth in the How Microsoft protects Customer Data section earlier in this article.” (Vores </w:t>
      </w:r>
      <w:proofErr w:type="spellStart"/>
      <w:r w:rsidRPr="001C19E7">
        <w:rPr>
          <w:lang w:val="en-US"/>
        </w:rPr>
        <w:t>understregning</w:t>
      </w:r>
      <w:proofErr w:type="spellEnd"/>
      <w:r w:rsidRPr="001C19E7">
        <w:rPr>
          <w:lang w:val="en-US"/>
        </w:rPr>
        <w:t>).</w:t>
      </w:r>
    </w:p>
  </w:footnote>
  <w:footnote w:id="12">
    <w:p w14:paraId="08291642" w14:textId="7F460648" w:rsidR="00C83C91" w:rsidRPr="00DC4F35" w:rsidRDefault="00C83C91">
      <w:pPr>
        <w:pStyle w:val="Fodnotetekst"/>
      </w:pPr>
      <w:r w:rsidRPr="00DC4F35">
        <w:rPr>
          <w:rStyle w:val="Fodnotehenvisning"/>
        </w:rPr>
        <w:footnoteRef/>
      </w:r>
      <w:r w:rsidRPr="001C19E7">
        <w:rPr>
          <w:lang w:val="en-US"/>
        </w:rPr>
        <w:t xml:space="preserve"> </w:t>
      </w:r>
      <w:r w:rsidRPr="00D87AC5">
        <w:rPr>
          <w:lang w:val="en-US"/>
        </w:rPr>
        <w:t>Locations of Microsoft Online Services Personnel with Remote Access to Data - Microsoft 365 Enterprise | Microsoft Learn</w:t>
      </w:r>
      <w:r w:rsidRPr="001C19E7">
        <w:rPr>
          <w:lang w:val="en-US"/>
        </w:rPr>
        <w:t xml:space="preserve"> (</w:t>
      </w:r>
      <w:proofErr w:type="spellStart"/>
      <w:r w:rsidRPr="001C19E7">
        <w:rPr>
          <w:lang w:val="en-US"/>
        </w:rPr>
        <w:t>senest</w:t>
      </w:r>
      <w:proofErr w:type="spellEnd"/>
      <w:r w:rsidRPr="001C19E7">
        <w:rPr>
          <w:lang w:val="en-US"/>
        </w:rPr>
        <w:t xml:space="preserve"> </w:t>
      </w:r>
      <w:proofErr w:type="spellStart"/>
      <w:r w:rsidRPr="001C19E7">
        <w:rPr>
          <w:lang w:val="en-US"/>
        </w:rPr>
        <w:t>tilgået</w:t>
      </w:r>
      <w:proofErr w:type="spellEnd"/>
      <w:r w:rsidRPr="001C19E7">
        <w:rPr>
          <w:lang w:val="en-US"/>
        </w:rPr>
        <w:t xml:space="preserve"> 12. </w:t>
      </w:r>
      <w:r w:rsidRPr="00DC4F35">
        <w:t>April 2024).</w:t>
      </w:r>
    </w:p>
  </w:footnote>
  <w:footnote w:id="13">
    <w:p w14:paraId="7AD99522" w14:textId="4702396B" w:rsidR="00C83C91" w:rsidRPr="00DC4F35" w:rsidRDefault="00C83C91" w:rsidP="00C736BF">
      <w:pPr>
        <w:pStyle w:val="Fodnotetekst"/>
      </w:pPr>
      <w:r w:rsidRPr="00DC4F35">
        <w:rPr>
          <w:rStyle w:val="Fodnotehenvisning"/>
        </w:rPr>
        <w:footnoteRef/>
      </w:r>
      <w:r w:rsidRPr="00DC4F35">
        <w:t xml:space="preserve"> Spørgeskemaet er tilgængeligt på Datatilsynets hjemmeside: </w:t>
      </w:r>
      <w:hyperlink r:id="rId1" w:history="1">
        <w:r w:rsidRPr="00DC4F35">
          <w:rPr>
            <w:rStyle w:val="Hyperlink"/>
          </w:rPr>
          <w:t>https://www.datatilsynet.dk/presse-og-nyheder/nyhedsarkiv/2022/aug/datatilsynets-spoergeskema-ved-tilsyn-med-cloud</w:t>
        </w:r>
      </w:hyperlink>
      <w:r w:rsidRPr="00DC4F35">
        <w:t xml:space="preserve"> (senest tilgået den 22. maj 2024).</w:t>
      </w:r>
    </w:p>
  </w:footnote>
  <w:footnote w:id="14">
    <w:p w14:paraId="083B3B95" w14:textId="7ACBF931" w:rsidR="00C83C91" w:rsidRPr="001C19E7" w:rsidRDefault="00C83C91" w:rsidP="00C736BF">
      <w:pPr>
        <w:pStyle w:val="Fodnotetekst"/>
        <w:rPr>
          <w:rFonts w:cs="Arial"/>
          <w:szCs w:val="16"/>
          <w:lang w:val="en-US"/>
        </w:rPr>
      </w:pPr>
      <w:r w:rsidRPr="00DC4F35">
        <w:rPr>
          <w:rStyle w:val="Fodnotehenvisning"/>
        </w:rPr>
        <w:footnoteRef/>
      </w:r>
      <w:r w:rsidRPr="001C19E7">
        <w:rPr>
          <w:lang w:val="en-US"/>
        </w:rPr>
        <w:t xml:space="preserve"> Guidelines 07/2020 on the concepts of controller and processor in the GDPR Version 2.1 Adopted on 07 July.</w:t>
      </w:r>
    </w:p>
  </w:footnote>
  <w:footnote w:id="15">
    <w:p w14:paraId="4016C0AC" w14:textId="77777777" w:rsidR="00C83C91" w:rsidRPr="00DC4F35" w:rsidRDefault="00C83C91" w:rsidP="00D04D16">
      <w:pPr>
        <w:pStyle w:val="Fodnotetekst"/>
      </w:pPr>
      <w:r w:rsidRPr="00DC4F35">
        <w:rPr>
          <w:rStyle w:val="Fodnotehenvisning"/>
        </w:rPr>
        <w:footnoteRef/>
      </w:r>
      <w:r w:rsidRPr="00DC4F35">
        <w:t xml:space="preserve"> EU Data </w:t>
      </w:r>
      <w:proofErr w:type="spellStart"/>
      <w:r w:rsidRPr="00DC4F35">
        <w:t>Boundary</w:t>
      </w:r>
      <w:proofErr w:type="spellEnd"/>
      <w:r w:rsidRPr="00DC4F35">
        <w:t xml:space="preserve"> dokumentationen, side 2. </w:t>
      </w:r>
    </w:p>
  </w:footnote>
  <w:footnote w:id="16">
    <w:p w14:paraId="5BE35EC7" w14:textId="77777777" w:rsidR="00C83C91" w:rsidRPr="00DC4F35" w:rsidRDefault="00C83C91" w:rsidP="0025790B">
      <w:pPr>
        <w:pStyle w:val="Fodnotetekst"/>
      </w:pPr>
      <w:r w:rsidRPr="00DC4F35">
        <w:rPr>
          <w:rStyle w:val="Fodnotehenvisning"/>
        </w:rPr>
        <w:footnoteRef/>
      </w:r>
      <w:r w:rsidRPr="00DC4F35">
        <w:t xml:space="preserve"> Datatilsynets svar på forespørgsel af 29. marts 2022, ”</w:t>
      </w:r>
      <w:r w:rsidRPr="00DC4F35">
        <w:rPr>
          <w:i/>
          <w:iCs/>
        </w:rPr>
        <w:t>Vedrørende tilsigtede eller utilsigtede overførsler til tredjelande”</w:t>
      </w:r>
      <w:r w:rsidRPr="00DC4F35">
        <w:t>, journalnummer: 2022-212-3529.</w:t>
      </w:r>
    </w:p>
  </w:footnote>
  <w:footnote w:id="17">
    <w:p w14:paraId="60C30470" w14:textId="2EEC4AF3" w:rsidR="00C83C91" w:rsidRPr="00DC4F35" w:rsidRDefault="00C83C91" w:rsidP="008C7A49">
      <w:pPr>
        <w:pStyle w:val="Fodnotetekst"/>
      </w:pPr>
      <w:r w:rsidRPr="00DC4F35">
        <w:rPr>
          <w:rStyle w:val="Fodnotehenvisning"/>
        </w:rPr>
        <w:footnoteRef/>
      </w:r>
      <w:r w:rsidRPr="00DC4F35">
        <w:t xml:space="preserve"> Datatilsynets hjemmeside: </w:t>
      </w:r>
      <w:hyperlink r:id="rId2" w:history="1">
        <w:r w:rsidRPr="00DC4F35">
          <w:rPr>
            <w:rStyle w:val="Hyperlink"/>
          </w:rPr>
          <w:t>https://www.datatilsynet.dk/hvad-siger-reglerne/vejledning/cloud/spoergsmaal-og-svar-om-cloud</w:t>
        </w:r>
      </w:hyperlink>
      <w:r w:rsidRPr="00DC4F35">
        <w:t xml:space="preserve"> (senest tilgået den 22. maj 2024).</w:t>
      </w:r>
    </w:p>
  </w:footnote>
  <w:footnote w:id="18">
    <w:p w14:paraId="14C461D1" w14:textId="77777777" w:rsidR="00C83C91" w:rsidRPr="00DC4F35" w:rsidRDefault="00C83C91" w:rsidP="00257540">
      <w:pPr>
        <w:pStyle w:val="Fodnotetekst"/>
      </w:pPr>
      <w:r w:rsidRPr="00DC4F35">
        <w:rPr>
          <w:rStyle w:val="Fodnotehenvisning"/>
        </w:rPr>
        <w:footnoteRef/>
      </w:r>
      <w:r w:rsidRPr="00DC4F35">
        <w:t xml:space="preserve"> DPIA on Microsoft Teams, OneDrive, </w:t>
      </w:r>
      <w:proofErr w:type="spellStart"/>
      <w:r w:rsidRPr="00DC4F35">
        <w:t>Sharepoint</w:t>
      </w:r>
      <w:proofErr w:type="spellEnd"/>
      <w:r w:rsidRPr="00DC4F35">
        <w:t xml:space="preserve"> and </w:t>
      </w:r>
      <w:proofErr w:type="spellStart"/>
      <w:r w:rsidRPr="00DC4F35">
        <w:t>Azure</w:t>
      </w:r>
      <w:proofErr w:type="spellEnd"/>
      <w:r w:rsidRPr="00DC4F35">
        <w:t xml:space="preserve"> AD (June 2021), Data </w:t>
      </w:r>
      <w:proofErr w:type="spellStart"/>
      <w:r w:rsidRPr="00DC4F35">
        <w:t>protection</w:t>
      </w:r>
      <w:proofErr w:type="spellEnd"/>
      <w:r w:rsidRPr="00DC4F35">
        <w:t xml:space="preserve"> </w:t>
      </w:r>
      <w:proofErr w:type="spellStart"/>
      <w:r w:rsidRPr="00DC4F35">
        <w:t>impact</w:t>
      </w:r>
      <w:proofErr w:type="spellEnd"/>
      <w:r w:rsidRPr="00DC4F35">
        <w:t xml:space="preserve"> </w:t>
      </w:r>
      <w:proofErr w:type="spellStart"/>
      <w:r w:rsidRPr="00DC4F35">
        <w:t>assessment</w:t>
      </w:r>
      <w:proofErr w:type="spellEnd"/>
      <w:r w:rsidRPr="00DC4F35">
        <w:t xml:space="preserve"> on the </w:t>
      </w:r>
      <w:proofErr w:type="spellStart"/>
      <w:r w:rsidRPr="00DC4F35">
        <w:t>processing</w:t>
      </w:r>
      <w:proofErr w:type="spellEnd"/>
      <w:r w:rsidRPr="00DC4F35">
        <w:t xml:space="preserve"> of </w:t>
      </w:r>
      <w:proofErr w:type="spellStart"/>
      <w:r w:rsidRPr="00DC4F35">
        <w:t>Diagnostic</w:t>
      </w:r>
      <w:proofErr w:type="spellEnd"/>
      <w:r w:rsidRPr="00DC4F35">
        <w:t xml:space="preserve"> Data, version 1.1 af den 16. februar 2022, offentlig version, som er tilgængelig på det hollandske justits- og sikkerhedsministerium hjemmeside her: </w:t>
      </w:r>
      <w:hyperlink r:id="rId3" w:history="1">
        <w:r w:rsidRPr="00DC4F35">
          <w:rPr>
            <w:rStyle w:val="Hyperlink"/>
          </w:rPr>
          <w:t>https://www.rijksoverheid.nl/documenten/publicaties/2022/02/21/public-dpia-teams-onedrive-sharepoint-and-azure-ad</w:t>
        </w:r>
      </w:hyperlink>
      <w:r w:rsidRPr="00DC4F35">
        <w:t xml:space="preserve"> (senest tilgået den 22. maj 2024).</w:t>
      </w:r>
    </w:p>
  </w:footnote>
  <w:footnote w:id="19">
    <w:p w14:paraId="59C98082" w14:textId="77777777" w:rsidR="00C83C91" w:rsidRPr="001C19E7" w:rsidRDefault="00C83C91" w:rsidP="00025E26">
      <w:pPr>
        <w:pStyle w:val="Fodnotetekst"/>
        <w:rPr>
          <w:lang w:val="en-US"/>
        </w:rPr>
      </w:pPr>
      <w:r w:rsidRPr="00DC4F35">
        <w:rPr>
          <w:rStyle w:val="Fodnotehenvisning"/>
        </w:rPr>
        <w:footnoteRef/>
      </w:r>
      <w:r w:rsidRPr="001C19E7">
        <w:rPr>
          <w:lang w:val="en-US"/>
        </w:rPr>
        <w:t xml:space="preserve"> </w:t>
      </w:r>
      <w:proofErr w:type="spellStart"/>
      <w:r w:rsidRPr="001C19E7">
        <w:rPr>
          <w:lang w:val="en-US"/>
        </w:rPr>
        <w:t>Microsofts</w:t>
      </w:r>
      <w:proofErr w:type="spellEnd"/>
      <w:r w:rsidRPr="001C19E7">
        <w:rPr>
          <w:lang w:val="en-US"/>
        </w:rPr>
        <w:t xml:space="preserve"> business operations white paper, side 11, ’Details on the data used for business operations’.</w:t>
      </w:r>
    </w:p>
  </w:footnote>
  <w:footnote w:id="20">
    <w:p w14:paraId="2253DFB5" w14:textId="77777777" w:rsidR="00C83C91" w:rsidRPr="001C19E7" w:rsidRDefault="00C83C91" w:rsidP="00025E26">
      <w:pPr>
        <w:pStyle w:val="Fodnotetekst"/>
        <w:rPr>
          <w:lang w:val="en-US"/>
        </w:rPr>
      </w:pPr>
      <w:r w:rsidRPr="00DC4F35">
        <w:rPr>
          <w:rStyle w:val="Fodnotehenvisning"/>
        </w:rPr>
        <w:footnoteRef/>
      </w:r>
      <w:r w:rsidRPr="001C19E7">
        <w:rPr>
          <w:lang w:val="en-US"/>
        </w:rPr>
        <w:t xml:space="preserve"> Se </w:t>
      </w:r>
      <w:proofErr w:type="spellStart"/>
      <w:r w:rsidRPr="001C19E7">
        <w:rPr>
          <w:lang w:val="en-US"/>
        </w:rPr>
        <w:t>f.eks</w:t>
      </w:r>
      <w:proofErr w:type="spellEnd"/>
      <w:r w:rsidRPr="001C19E7">
        <w:rPr>
          <w:lang w:val="en-US"/>
        </w:rPr>
        <w:t xml:space="preserve">. </w:t>
      </w:r>
      <w:proofErr w:type="spellStart"/>
      <w:r w:rsidRPr="001C19E7">
        <w:rPr>
          <w:lang w:val="en-US"/>
        </w:rPr>
        <w:t>Microsofts</w:t>
      </w:r>
      <w:proofErr w:type="spellEnd"/>
      <w:r w:rsidRPr="001C19E7">
        <w:rPr>
          <w:lang w:val="en-US"/>
        </w:rPr>
        <w:t xml:space="preserve"> business operations white paper, side 13, ‘Details on each of the four business </w:t>
      </w:r>
      <w:proofErr w:type="gramStart"/>
      <w:r w:rsidRPr="001C19E7">
        <w:rPr>
          <w:lang w:val="en-US"/>
        </w:rPr>
        <w:t>operations’</w:t>
      </w:r>
      <w:proofErr w:type="gramEnd"/>
      <w:r w:rsidRPr="001C19E7">
        <w:rPr>
          <w:lang w:val="en-US"/>
        </w:rPr>
        <w:t xml:space="preserve">. </w:t>
      </w:r>
    </w:p>
  </w:footnote>
  <w:footnote w:id="21">
    <w:p w14:paraId="6EAC3A6D" w14:textId="77777777" w:rsidR="00C83C91" w:rsidRPr="001C19E7" w:rsidRDefault="00C83C91" w:rsidP="007A210C">
      <w:pPr>
        <w:pStyle w:val="Fodnotetekst"/>
        <w:rPr>
          <w:lang w:val="en-US"/>
        </w:rPr>
      </w:pPr>
      <w:r w:rsidRPr="00DC4F35">
        <w:rPr>
          <w:rStyle w:val="Fodnotehenvisning"/>
        </w:rPr>
        <w:footnoteRef/>
      </w:r>
      <w:r w:rsidRPr="001C19E7">
        <w:rPr>
          <w:lang w:val="en-US"/>
        </w:rPr>
        <w:t xml:space="preserve"> </w:t>
      </w:r>
      <w:proofErr w:type="spellStart"/>
      <w:r w:rsidRPr="001C19E7">
        <w:rPr>
          <w:lang w:val="en-US"/>
        </w:rPr>
        <w:t>Microsofts</w:t>
      </w:r>
      <w:proofErr w:type="spellEnd"/>
      <w:r w:rsidRPr="001C19E7">
        <w:rPr>
          <w:lang w:val="en-US"/>
        </w:rPr>
        <w:t xml:space="preserve"> business operations white paper, side 10, ‘Details on the data used for business operations’, ‘Overview’.</w:t>
      </w:r>
    </w:p>
  </w:footnote>
  <w:footnote w:id="22">
    <w:p w14:paraId="0A8B5948" w14:textId="27CF2646" w:rsidR="00C83C91" w:rsidRPr="00DC4F35" w:rsidRDefault="00C83C91" w:rsidP="00C34FF9">
      <w:pPr>
        <w:pStyle w:val="Fodnotetekst"/>
      </w:pPr>
      <w:r w:rsidRPr="00DC4F35">
        <w:rPr>
          <w:rStyle w:val="Fodnotehenvisning"/>
        </w:rPr>
        <w:footnoteRef/>
      </w:r>
      <w:r w:rsidRPr="00DC4F35">
        <w:t xml:space="preserve"> Se Microsofts hjemmeside: </w:t>
      </w:r>
      <w:hyperlink r:id="rId4" w:history="1">
        <w:r w:rsidRPr="00DC4F35">
          <w:rPr>
            <w:rStyle w:val="Hyperlink"/>
          </w:rPr>
          <w:t>https://learn.microsoft.com/en-us/deployoffice/privacy/required-diagnostic-data</w:t>
        </w:r>
      </w:hyperlink>
      <w:r w:rsidRPr="00DC4F35">
        <w:t xml:space="preserve"> (senest tilgået den 16. marts 2024).</w:t>
      </w:r>
    </w:p>
  </w:footnote>
  <w:footnote w:id="23">
    <w:p w14:paraId="1C237D00" w14:textId="2C1115DC" w:rsidR="00C83C91" w:rsidRPr="00DC4F35" w:rsidRDefault="00C83C91" w:rsidP="00A46B63">
      <w:pPr>
        <w:pStyle w:val="Fodnotetekst"/>
      </w:pPr>
      <w:r w:rsidRPr="00DC4F35">
        <w:rPr>
          <w:rStyle w:val="Fodnotehenvisning"/>
        </w:rPr>
        <w:footnoteRef/>
      </w:r>
      <w:r w:rsidRPr="00DC4F35">
        <w:t xml:space="preserve"> Se ”</w:t>
      </w:r>
      <w:proofErr w:type="spellStart"/>
      <w:r w:rsidRPr="00DC4F35">
        <w:t>Diagnostic</w:t>
      </w:r>
      <w:proofErr w:type="spellEnd"/>
      <w:r w:rsidRPr="00DC4F35">
        <w:t xml:space="preserve"> Data dokumentationen” på Microsofts hjemmeside: </w:t>
      </w:r>
      <w:hyperlink r:id="rId5" w:history="1">
        <w:r w:rsidRPr="00DC4F35">
          <w:rPr>
            <w:rStyle w:val="Hyperlink"/>
          </w:rPr>
          <w:t>https://learn.microsoft.com/en-us/deployoffice/privacy/required-diagnostic-data</w:t>
        </w:r>
      </w:hyperlink>
      <w:r w:rsidRPr="00DC4F35">
        <w:t xml:space="preserve"> (senest tilgået den 16. marts 2024).</w:t>
      </w:r>
    </w:p>
  </w:footnote>
  <w:footnote w:id="24">
    <w:p w14:paraId="3F83B100" w14:textId="2AF1DFE4" w:rsidR="00C83C91" w:rsidRPr="00DC4F35" w:rsidRDefault="00C83C91" w:rsidP="009963C6">
      <w:pPr>
        <w:pStyle w:val="Fodnotetekst"/>
      </w:pPr>
      <w:r w:rsidRPr="00DC4F35">
        <w:rPr>
          <w:rStyle w:val="Fodnotehenvisning"/>
        </w:rPr>
        <w:footnoteRef/>
      </w:r>
      <w:r w:rsidRPr="00DC4F35">
        <w:t xml:space="preserve"> I EU Data </w:t>
      </w:r>
      <w:proofErr w:type="spellStart"/>
      <w:r w:rsidRPr="00DC4F35">
        <w:t>Boundary</w:t>
      </w:r>
      <w:proofErr w:type="spellEnd"/>
      <w:r w:rsidRPr="00DC4F35">
        <w:t xml:space="preserve"> dokumentationen beskrevet under overskriften ”Remote Access”.</w:t>
      </w:r>
    </w:p>
  </w:footnote>
  <w:footnote w:id="25">
    <w:p w14:paraId="005FBDEB" w14:textId="77777777" w:rsidR="00C83C91" w:rsidRPr="001C19E7" w:rsidRDefault="00C83C91" w:rsidP="009963C6">
      <w:pPr>
        <w:pStyle w:val="Fodnotetekst"/>
        <w:rPr>
          <w:lang w:val="en-US"/>
        </w:rPr>
      </w:pPr>
      <w:r w:rsidRPr="00DC4F35">
        <w:rPr>
          <w:rStyle w:val="Fodnotehenvisning"/>
        </w:rPr>
        <w:footnoteRef/>
      </w:r>
      <w:r w:rsidRPr="001C19E7">
        <w:rPr>
          <w:lang w:val="en-US"/>
        </w:rPr>
        <w:t xml:space="preserve"> Ibid. </w:t>
      </w:r>
    </w:p>
  </w:footnote>
  <w:footnote w:id="26">
    <w:p w14:paraId="22DE6E3F" w14:textId="77777777" w:rsidR="00C83C91" w:rsidRPr="001C19E7" w:rsidRDefault="00C83C91" w:rsidP="0036440D">
      <w:pPr>
        <w:pStyle w:val="Fodnotetekst"/>
        <w:rPr>
          <w:lang w:val="en-US"/>
        </w:rPr>
      </w:pPr>
      <w:r w:rsidRPr="00DC4F35">
        <w:rPr>
          <w:rStyle w:val="Fodnotehenvisning"/>
        </w:rPr>
        <w:footnoteRef/>
      </w:r>
      <w:r w:rsidRPr="001C19E7">
        <w:rPr>
          <w:lang w:val="en-US"/>
        </w:rPr>
        <w:t xml:space="preserve"> COMMISSION IMPLEMENTING DECISION of 10.7.2023 pursuant to Regulation (EU) 2016/679 of the European Parliament and of the Council on the adequate level of protection of personal data under the EU-US Data Privacy Framework.</w:t>
      </w:r>
    </w:p>
  </w:footnote>
  <w:footnote w:id="27">
    <w:p w14:paraId="4D4ADA7C" w14:textId="51774C38" w:rsidR="00C83C91" w:rsidRPr="00DC4F35" w:rsidRDefault="00C83C91">
      <w:pPr>
        <w:pStyle w:val="Fodnotetekst"/>
      </w:pPr>
      <w:r w:rsidRPr="00DC4F35">
        <w:rPr>
          <w:rStyle w:val="Fodnotehenvisning"/>
        </w:rPr>
        <w:footnoteRef/>
      </w:r>
      <w:r w:rsidRPr="00DC4F35">
        <w:t xml:space="preserve"> Rammeværket kan findes her: </w:t>
      </w:r>
      <w:hyperlink r:id="rId6" w:history="1">
        <w:r w:rsidRPr="00DC4F35">
          <w:rPr>
            <w:rStyle w:val="Hyperlink"/>
          </w:rPr>
          <w:t>https://www.dataprivacyframework.gov/EU-US-Framework</w:t>
        </w:r>
      </w:hyperlink>
      <w:r w:rsidRPr="00DC4F35">
        <w:t xml:space="preserve"> (senest tilgået den 22. maj 2024).</w:t>
      </w:r>
    </w:p>
  </w:footnote>
  <w:footnote w:id="28">
    <w:p w14:paraId="7516693F" w14:textId="2ABFB715" w:rsidR="00C83C91" w:rsidRPr="00DC4F35" w:rsidRDefault="00C83C91">
      <w:pPr>
        <w:pStyle w:val="Fodnotetekst"/>
      </w:pPr>
      <w:r w:rsidRPr="00DC4F35">
        <w:rPr>
          <w:rStyle w:val="Fodnotehenvisning"/>
        </w:rPr>
        <w:footnoteRef/>
      </w:r>
      <w:r w:rsidRPr="00DC4F35">
        <w:t xml:space="preserve"> Christopher </w:t>
      </w:r>
      <w:proofErr w:type="spellStart"/>
      <w:r w:rsidRPr="00DC4F35">
        <w:t>Kuner</w:t>
      </w:r>
      <w:proofErr w:type="spellEnd"/>
      <w:r w:rsidRPr="00DC4F35">
        <w:t xml:space="preserve">, </w:t>
      </w:r>
      <w:proofErr w:type="spellStart"/>
      <w:r w:rsidRPr="00DC4F35">
        <w:t>Schrems</w:t>
      </w:r>
      <w:proofErr w:type="spellEnd"/>
      <w:r w:rsidRPr="00DC4F35">
        <w:t xml:space="preserve"> II Re-</w:t>
      </w:r>
      <w:proofErr w:type="spellStart"/>
      <w:r w:rsidRPr="00DC4F35">
        <w:t>Examined</w:t>
      </w:r>
      <w:proofErr w:type="spellEnd"/>
      <w:r w:rsidRPr="00DC4F35">
        <w:t xml:space="preserve">, 25. august 2020, tilgængelig på forfatterens hjemmeside her: </w:t>
      </w:r>
      <w:hyperlink r:id="rId7" w:history="1">
        <w:r w:rsidRPr="00DC4F35">
          <w:rPr>
            <w:rStyle w:val="Hyperlink"/>
          </w:rPr>
          <w:t>https://verfassungsblog.de/schrems-ii-re-examined/</w:t>
        </w:r>
      </w:hyperlink>
      <w:r w:rsidRPr="00DC4F35">
        <w:t xml:space="preserve"> (senest tilgået den 22. maj 2024).</w:t>
      </w:r>
    </w:p>
  </w:footnote>
  <w:footnote w:id="29">
    <w:p w14:paraId="090ACA4A" w14:textId="7714E9D5" w:rsidR="00C83C91" w:rsidRPr="001C19E7" w:rsidRDefault="00C83C91">
      <w:pPr>
        <w:pStyle w:val="Fodnotetekst"/>
        <w:rPr>
          <w:lang w:val="en-US"/>
        </w:rPr>
      </w:pPr>
      <w:r w:rsidRPr="00DC4F35">
        <w:rPr>
          <w:rStyle w:val="Fodnotehenvisning"/>
        </w:rPr>
        <w:footnoteRef/>
      </w:r>
      <w:r w:rsidRPr="001C19E7">
        <w:rPr>
          <w:lang w:val="en-US"/>
        </w:rPr>
        <w:t xml:space="preserve"> EDPB: Recommendations 01/2020 on measures that supplement transfer tools to ensure compliance with the EU level of protection of personal data, Version 2.0, Adopted on 18 June 2021, side 21 ff. </w:t>
      </w:r>
      <w:proofErr w:type="spellStart"/>
      <w:r w:rsidRPr="001C19E7">
        <w:rPr>
          <w:lang w:val="en-US"/>
        </w:rPr>
        <w:t>samt</w:t>
      </w:r>
      <w:proofErr w:type="spellEnd"/>
      <w:r w:rsidRPr="001C19E7">
        <w:rPr>
          <w:lang w:val="en-US"/>
        </w:rPr>
        <w:t xml:space="preserve"> Annex 2 </w:t>
      </w:r>
      <w:proofErr w:type="spellStart"/>
      <w:r w:rsidRPr="001C19E7">
        <w:rPr>
          <w:lang w:val="en-US"/>
        </w:rPr>
        <w:t>på</w:t>
      </w:r>
      <w:proofErr w:type="spellEnd"/>
      <w:r w:rsidRPr="001C19E7">
        <w:rPr>
          <w:lang w:val="en-US"/>
        </w:rPr>
        <w:t xml:space="preserve"> s. 31 ff. med </w:t>
      </w:r>
      <w:proofErr w:type="spellStart"/>
      <w:r w:rsidRPr="001C19E7">
        <w:rPr>
          <w:lang w:val="en-US"/>
        </w:rPr>
        <w:t>omtale</w:t>
      </w:r>
      <w:proofErr w:type="spellEnd"/>
      <w:r w:rsidRPr="001C19E7">
        <w:rPr>
          <w:lang w:val="en-US"/>
        </w:rPr>
        <w:t xml:space="preserve"> </w:t>
      </w:r>
      <w:proofErr w:type="spellStart"/>
      <w:r w:rsidRPr="001C19E7">
        <w:rPr>
          <w:lang w:val="en-US"/>
        </w:rPr>
        <w:t>af</w:t>
      </w:r>
      <w:proofErr w:type="spellEnd"/>
      <w:r w:rsidRPr="001C19E7">
        <w:rPr>
          <w:lang w:val="en-US"/>
        </w:rPr>
        <w:t xml:space="preserve"> use case 2 og 6.</w:t>
      </w:r>
    </w:p>
  </w:footnote>
  <w:footnote w:id="30">
    <w:p w14:paraId="56EC6444" w14:textId="03CFFEED" w:rsidR="00C83C91" w:rsidRPr="00DC4F35" w:rsidRDefault="00C83C91">
      <w:pPr>
        <w:pStyle w:val="Fodnotetekst"/>
      </w:pPr>
      <w:r w:rsidRPr="00DC4F35">
        <w:rPr>
          <w:rStyle w:val="Fodnotehenvisning"/>
        </w:rPr>
        <w:footnoteRef/>
      </w:r>
      <w:r w:rsidRPr="00DC4F35">
        <w:t xml:space="preserve"> Se </w:t>
      </w:r>
      <w:proofErr w:type="spellStart"/>
      <w:r w:rsidRPr="00DC4F35">
        <w:t>EDPB’s</w:t>
      </w:r>
      <w:proofErr w:type="spellEnd"/>
      <w:r w:rsidRPr="00DC4F35">
        <w:t xml:space="preserve"> retningslinjer, s. 17 ff.</w:t>
      </w:r>
    </w:p>
  </w:footnote>
  <w:footnote w:id="31">
    <w:p w14:paraId="442EDFD1" w14:textId="1EA0F5E8" w:rsidR="00C83C91" w:rsidRPr="001C19E7" w:rsidRDefault="00C83C91" w:rsidP="003D2C3F">
      <w:pPr>
        <w:pStyle w:val="Fodnotetekst"/>
        <w:rPr>
          <w:lang w:val="en-US"/>
        </w:rPr>
      </w:pPr>
      <w:r w:rsidRPr="00DC4F35">
        <w:rPr>
          <w:rStyle w:val="Fodnotehenvisning"/>
        </w:rPr>
        <w:footnoteRef/>
      </w:r>
      <w:r w:rsidRPr="001C19E7">
        <w:rPr>
          <w:lang w:val="en-US"/>
        </w:rPr>
        <w:t xml:space="preserve"> EDPS: EDPS INVESTIGATION INTO USE OF MICROSOFT 365 BY THE EUROPEAN COMMISSION (Case 2021-0518) Decision (8 March 2024).</w:t>
      </w:r>
    </w:p>
  </w:footnote>
  <w:footnote w:id="32">
    <w:p w14:paraId="2954720D" w14:textId="2BFEADB8" w:rsidR="00C83C91" w:rsidRPr="00DC4F35" w:rsidRDefault="00C83C91" w:rsidP="0079441F">
      <w:pPr>
        <w:pStyle w:val="Fodnotetekst"/>
      </w:pPr>
      <w:r w:rsidRPr="00DC4F35">
        <w:rPr>
          <w:rStyle w:val="Fodnotehenvisning"/>
        </w:rPr>
        <w:footnoteRef/>
      </w:r>
      <w:r w:rsidRPr="00DC4F35">
        <w:t xml:space="preserve"> EUROPA-PARLAMENTETS OG RÅDETS FORORDNING (EU) 2018/1725 af 23. oktober 2018 om beskyttelse af fysiske personer i forbindelse med behandling af personoplysninger i Unionens </w:t>
      </w:r>
      <w:proofErr w:type="spellStart"/>
      <w:r w:rsidRPr="00DC4F35">
        <w:t>insti-tutioner</w:t>
      </w:r>
      <w:proofErr w:type="spellEnd"/>
      <w:r w:rsidRPr="00DC4F35">
        <w:t>, organer, kontorer og agenturer og om fri udveksling af sådanne oplysninger og om ophævelse af forordning (EF) nr. 45/2001 og afgørelse nr. 1247/2002/EF.</w:t>
      </w:r>
    </w:p>
  </w:footnote>
  <w:footnote w:id="33">
    <w:p w14:paraId="1E099C2B" w14:textId="18352C91" w:rsidR="00C83C91" w:rsidRPr="00DC4F35" w:rsidRDefault="00C83C91" w:rsidP="00CB61E7">
      <w:pPr>
        <w:pStyle w:val="Fodnotetekst"/>
      </w:pPr>
      <w:r w:rsidRPr="00DC4F35">
        <w:rPr>
          <w:rStyle w:val="Fodnotehenvisning"/>
        </w:rPr>
        <w:footnoteRef/>
      </w:r>
      <w:r w:rsidRPr="00DC4F35">
        <w:t xml:space="preserve"> </w:t>
      </w:r>
      <w:proofErr w:type="spellStart"/>
      <w:r w:rsidRPr="00DC4F35">
        <w:t>Conseil</w:t>
      </w:r>
      <w:proofErr w:type="spellEnd"/>
      <w:r w:rsidRPr="00DC4F35">
        <w:t xml:space="preserve"> </w:t>
      </w:r>
      <w:proofErr w:type="spellStart"/>
      <w:r w:rsidRPr="00DC4F35">
        <w:t>d’États</w:t>
      </w:r>
      <w:proofErr w:type="spellEnd"/>
      <w:r w:rsidRPr="00DC4F35">
        <w:t xml:space="preserve"> hjemmeside: </w:t>
      </w:r>
      <w:hyperlink r:id="rId8" w:history="1">
        <w:r w:rsidRPr="00DC4F35">
          <w:rPr>
            <w:rStyle w:val="Hyperlink"/>
          </w:rPr>
          <w:t>https://www.conseil-etat.fr/en/news/the-urgent-applications-judge-does-not-suspend-the-partnership-between-the-ministry-of-health-and-doctolib-for-the-management-of-covid-19-vaccinati</w:t>
        </w:r>
      </w:hyperlink>
      <w:r w:rsidRPr="00DC4F35">
        <w:t xml:space="preserve"> (senest tilgået den 16. maj 2024).</w:t>
      </w:r>
    </w:p>
  </w:footnote>
  <w:footnote w:id="34">
    <w:p w14:paraId="26695C50" w14:textId="5851C5DB" w:rsidR="00C83C91" w:rsidRPr="00DC4F35" w:rsidRDefault="00C83C91">
      <w:pPr>
        <w:pStyle w:val="Fodnotetekst"/>
      </w:pPr>
      <w:r w:rsidRPr="00DC4F35">
        <w:rPr>
          <w:rStyle w:val="Fodnotehenvisning"/>
        </w:rPr>
        <w:footnoteRef/>
      </w:r>
      <w:r w:rsidRPr="00DC4F35">
        <w:t xml:space="preserve"> DPIA on Microsoft Teams, OneDrive, </w:t>
      </w:r>
      <w:proofErr w:type="spellStart"/>
      <w:r w:rsidRPr="00DC4F35">
        <w:t>Sharepoint</w:t>
      </w:r>
      <w:proofErr w:type="spellEnd"/>
      <w:r w:rsidRPr="00DC4F35">
        <w:t xml:space="preserve"> and </w:t>
      </w:r>
      <w:proofErr w:type="spellStart"/>
      <w:r w:rsidRPr="00DC4F35">
        <w:t>Azure</w:t>
      </w:r>
      <w:proofErr w:type="spellEnd"/>
      <w:r w:rsidRPr="00DC4F35">
        <w:t xml:space="preserve"> AD (June 2021), Data </w:t>
      </w:r>
      <w:proofErr w:type="spellStart"/>
      <w:r w:rsidRPr="00DC4F35">
        <w:t>protection</w:t>
      </w:r>
      <w:proofErr w:type="spellEnd"/>
      <w:r w:rsidRPr="00DC4F35">
        <w:t xml:space="preserve"> </w:t>
      </w:r>
      <w:proofErr w:type="spellStart"/>
      <w:r w:rsidRPr="00DC4F35">
        <w:t>impact</w:t>
      </w:r>
      <w:proofErr w:type="spellEnd"/>
      <w:r w:rsidRPr="00DC4F35">
        <w:t xml:space="preserve"> </w:t>
      </w:r>
      <w:proofErr w:type="spellStart"/>
      <w:r w:rsidRPr="00DC4F35">
        <w:t>assessment</w:t>
      </w:r>
      <w:proofErr w:type="spellEnd"/>
      <w:r w:rsidRPr="00DC4F35">
        <w:t xml:space="preserve"> on the </w:t>
      </w:r>
      <w:proofErr w:type="spellStart"/>
      <w:r w:rsidRPr="00DC4F35">
        <w:t>processing</w:t>
      </w:r>
      <w:proofErr w:type="spellEnd"/>
      <w:r w:rsidRPr="00DC4F35">
        <w:t xml:space="preserve"> of </w:t>
      </w:r>
      <w:proofErr w:type="spellStart"/>
      <w:r w:rsidRPr="00DC4F35">
        <w:t>Diagnostic</w:t>
      </w:r>
      <w:proofErr w:type="spellEnd"/>
      <w:r w:rsidRPr="00DC4F35">
        <w:t xml:space="preserve"> Data, version 1.1 af den 16. februar 2022, offentlig version, som er tilgængelig på det hollandske justits- og sikkerhedsministerium hjemmeside her: </w:t>
      </w:r>
      <w:hyperlink r:id="rId9" w:history="1">
        <w:r w:rsidRPr="00DC4F35">
          <w:rPr>
            <w:rStyle w:val="Hyperlink"/>
          </w:rPr>
          <w:t>https://www.rijksoverheid.nl/documenten/publicaties/2022/02/21/public-dpia-teams-onedrive-sharepoint-and-azure-ad</w:t>
        </w:r>
      </w:hyperlink>
      <w:r w:rsidRPr="00DC4F35">
        <w:t xml:space="preserve"> (senest tilgået den 22. maj 2024).</w:t>
      </w:r>
    </w:p>
  </w:footnote>
  <w:footnote w:id="35">
    <w:p w14:paraId="1DA74C52" w14:textId="3BAAA50E" w:rsidR="00C83C91" w:rsidRPr="00DC4F35" w:rsidRDefault="00C83C91" w:rsidP="00371D56">
      <w:pPr>
        <w:pStyle w:val="Fodnotetekst"/>
      </w:pPr>
      <w:r w:rsidRPr="00DC4F35">
        <w:rPr>
          <w:rStyle w:val="Fodnotehenvisning"/>
        </w:rPr>
        <w:footnoteRef/>
      </w:r>
      <w:r w:rsidRPr="001C19E7">
        <w:rPr>
          <w:lang w:val="en-US"/>
        </w:rPr>
        <w:t xml:space="preserve"> Se </w:t>
      </w:r>
      <w:proofErr w:type="spellStart"/>
      <w:r w:rsidRPr="001C19E7">
        <w:rPr>
          <w:lang w:val="en-US"/>
        </w:rPr>
        <w:t>hertil</w:t>
      </w:r>
      <w:proofErr w:type="spellEnd"/>
      <w:r w:rsidRPr="001C19E7">
        <w:rPr>
          <w:lang w:val="en-US"/>
        </w:rPr>
        <w:t xml:space="preserve"> Theodore </w:t>
      </w:r>
      <w:r w:rsidRPr="001C19E7">
        <w:rPr>
          <w:rFonts w:ascii="NexusSansWebPro" w:hAnsi="NexusSansWebPro"/>
          <w:color w:val="505050"/>
          <w:shd w:val="clear" w:color="auto" w:fill="FFFFFF"/>
          <w:lang w:val="en-US"/>
        </w:rPr>
        <w:t xml:space="preserve">Christakis: “The 'Zero Risk' Fallacy: International Data Transfers, Foreign Governments’ Access to Data and the Need for a Risk-Based Approach”, 20. </w:t>
      </w:r>
      <w:proofErr w:type="spellStart"/>
      <w:r w:rsidRPr="001C19E7">
        <w:rPr>
          <w:rFonts w:ascii="NexusSansWebPro" w:hAnsi="NexusSansWebPro"/>
          <w:color w:val="505050"/>
          <w:shd w:val="clear" w:color="auto" w:fill="FFFFFF"/>
          <w:lang w:val="en-US"/>
        </w:rPr>
        <w:t>februar</w:t>
      </w:r>
      <w:proofErr w:type="spellEnd"/>
      <w:r w:rsidRPr="001C19E7">
        <w:rPr>
          <w:rFonts w:ascii="NexusSansWebPro" w:hAnsi="NexusSansWebPro"/>
          <w:color w:val="505050"/>
          <w:shd w:val="clear" w:color="auto" w:fill="FFFFFF"/>
          <w:lang w:val="en-US"/>
        </w:rPr>
        <w:t xml:space="preserve"> 2024. </w:t>
      </w:r>
      <w:r w:rsidRPr="00DC4F35">
        <w:rPr>
          <w:rFonts w:ascii="NexusSansWebPro" w:hAnsi="NexusSansWebPro"/>
          <w:color w:val="505050"/>
          <w:shd w:val="clear" w:color="auto" w:fill="FFFFFF"/>
        </w:rPr>
        <w:t>CIPL/CBDF Paper Series, tilgængelig på SSRN: </w:t>
      </w:r>
      <w:hyperlink r:id="rId10" w:tgtFrame="_blank" w:history="1">
        <w:r w:rsidRPr="00DC4F35">
          <w:rPr>
            <w:rStyle w:val="Hyperlink"/>
            <w:rFonts w:ascii="NexusSansWebPro" w:hAnsi="NexusSansWebPro"/>
            <w:color w:val="505050"/>
            <w:shd w:val="clear" w:color="auto" w:fill="FFFFFF"/>
          </w:rPr>
          <w:t>https://ssrn.com/abstract=4732294</w:t>
        </w:r>
      </w:hyperlink>
      <w:r w:rsidRPr="00DC4F35">
        <w:t xml:space="preserve"> (senest tilgået den 22. maj 2024), der har henvisninger til yderligere litteratur. Der kan endvidere henvises til Paul </w:t>
      </w:r>
      <w:proofErr w:type="spellStart"/>
      <w:r w:rsidRPr="00DC4F35">
        <w:t>Breibarth</w:t>
      </w:r>
      <w:proofErr w:type="spellEnd"/>
      <w:r w:rsidRPr="00DC4F35">
        <w:t>: ”A Risk-</w:t>
      </w:r>
      <w:proofErr w:type="spellStart"/>
      <w:r w:rsidRPr="00DC4F35">
        <w:t>Based</w:t>
      </w:r>
      <w:proofErr w:type="spellEnd"/>
      <w:r w:rsidRPr="00DC4F35">
        <w:t xml:space="preserve"> Approach to International Data Transfers”, EDPL nr. 4, 2021, side 539 ff., som er tilgængelig her: </w:t>
      </w:r>
      <w:hyperlink r:id="rId11" w:history="1">
        <w:r w:rsidRPr="00DC4F35">
          <w:rPr>
            <w:rStyle w:val="Hyperlink"/>
          </w:rPr>
          <w:t>https://edpl.lexxion.eu/data/article/17963/pdf/edpl_2021_04-010.pdf</w:t>
        </w:r>
      </w:hyperlink>
      <w:r w:rsidRPr="00DC4F35">
        <w:t xml:space="preserve"> (senest tilgået den 22. maj 2024), der har henvisninger til yderligere litteratur.</w:t>
      </w:r>
    </w:p>
  </w:footnote>
  <w:footnote w:id="36">
    <w:p w14:paraId="1FF44935" w14:textId="689D268A" w:rsidR="00C83C91" w:rsidRPr="00DC4F35" w:rsidRDefault="00C83C91" w:rsidP="00155967">
      <w:pPr>
        <w:pStyle w:val="Fodnotetekst"/>
        <w:rPr>
          <w:highlight w:val="yellow"/>
        </w:rPr>
      </w:pPr>
      <w:r w:rsidRPr="00DC4F35">
        <w:rPr>
          <w:rStyle w:val="Fodnotehenvisning"/>
        </w:rPr>
        <w:footnoteRef/>
      </w:r>
      <w:r w:rsidRPr="00DC4F35">
        <w:t xml:space="preserve"> Bilag C, side 8.</w:t>
      </w:r>
    </w:p>
  </w:footnote>
  <w:footnote w:id="37">
    <w:p w14:paraId="79A943F4" w14:textId="35F0E996" w:rsidR="00C83C91" w:rsidRPr="00DC4F35" w:rsidRDefault="00C83C91" w:rsidP="00155967">
      <w:pPr>
        <w:pStyle w:val="Fodnotetekst"/>
      </w:pPr>
      <w:r w:rsidRPr="00DC4F35">
        <w:rPr>
          <w:rStyle w:val="Fodnotehenvisning"/>
        </w:rPr>
        <w:footnoteRef/>
      </w:r>
      <w:r w:rsidRPr="00DC4F35">
        <w:t xml:space="preserve"> Bilag C, side 8-9 samt side 13-15.</w:t>
      </w:r>
    </w:p>
  </w:footnote>
  <w:footnote w:id="38">
    <w:p w14:paraId="7F3F2A4A" w14:textId="77777777" w:rsidR="00C83C91" w:rsidRPr="001C19E7" w:rsidRDefault="00C83C91" w:rsidP="00A73930">
      <w:pPr>
        <w:pStyle w:val="Fodnotetekst"/>
        <w:rPr>
          <w:lang w:val="en-US"/>
        </w:rPr>
      </w:pPr>
      <w:r w:rsidRPr="00DC4F35">
        <w:rPr>
          <w:rStyle w:val="Fodnotehenvisning"/>
        </w:rPr>
        <w:footnoteRef/>
      </w:r>
      <w:r w:rsidRPr="001C19E7">
        <w:rPr>
          <w:lang w:val="en-US"/>
        </w:rPr>
        <w:t xml:space="preserve"> </w:t>
      </w:r>
      <w:proofErr w:type="spellStart"/>
      <w:r w:rsidRPr="001C19E7">
        <w:rPr>
          <w:lang w:val="en-US"/>
        </w:rPr>
        <w:t>Microsofts</w:t>
      </w:r>
      <w:proofErr w:type="spellEnd"/>
      <w:r w:rsidRPr="001C19E7">
        <w:rPr>
          <w:lang w:val="en-US"/>
        </w:rPr>
        <w:t xml:space="preserve"> business operations white paper, side 9 f., ’Details on the data used for business operations’.</w:t>
      </w:r>
    </w:p>
  </w:footnote>
  <w:footnote w:id="39">
    <w:p w14:paraId="1C3B7A92" w14:textId="0CDF8197" w:rsidR="00C83C91" w:rsidRPr="00DC4F35" w:rsidRDefault="00C83C91" w:rsidP="00E37702">
      <w:pPr>
        <w:pStyle w:val="Fodnotetekst"/>
      </w:pPr>
      <w:r w:rsidRPr="00DC4F35">
        <w:rPr>
          <w:rStyle w:val="Fodnotehenvisning"/>
        </w:rPr>
        <w:footnoteRef/>
      </w:r>
      <w:r w:rsidRPr="00DC4F35">
        <w:t xml:space="preserve"> Se Microsofts hjemmeside her: </w:t>
      </w:r>
      <w:hyperlink r:id="rId12" w:history="1">
        <w:r w:rsidRPr="00DC4F35">
          <w:rPr>
            <w:rStyle w:val="Hyperlink"/>
          </w:rPr>
          <w:t>https://learn.microsoft.com/en-us/purview/customer-lockbox-requests</w:t>
        </w:r>
      </w:hyperlink>
      <w:r w:rsidRPr="00DC4F35">
        <w:t xml:space="preserve"> (senest tilgået den </w:t>
      </w:r>
      <w:r w:rsidR="00802727">
        <w:t>25</w:t>
      </w:r>
      <w:r w:rsidRPr="00DC4F35">
        <w:t xml:space="preserve">. </w:t>
      </w:r>
      <w:r w:rsidR="00802727">
        <w:t>juni</w:t>
      </w:r>
      <w:r w:rsidRPr="00DC4F35">
        <w:t xml:space="preserve"> 2024).</w:t>
      </w:r>
    </w:p>
  </w:footnote>
  <w:footnote w:id="40">
    <w:p w14:paraId="30D9FF78" w14:textId="77777777" w:rsidR="00C83C91" w:rsidRPr="00DC4F35" w:rsidRDefault="00C83C91" w:rsidP="00E37702">
      <w:pPr>
        <w:pStyle w:val="Fodnotetekst"/>
      </w:pPr>
      <w:r w:rsidRPr="00DC4F35">
        <w:rPr>
          <w:rStyle w:val="Fodnotehenvisning"/>
        </w:rPr>
        <w:footnoteRef/>
      </w:r>
      <w:r w:rsidRPr="00DC4F35">
        <w:t xml:space="preserve"> Ibid. </w:t>
      </w:r>
    </w:p>
  </w:footnote>
  <w:footnote w:id="41">
    <w:p w14:paraId="362A5C8F" w14:textId="08F0D99D" w:rsidR="00C83C91" w:rsidRPr="00DC4F35" w:rsidRDefault="00C83C91" w:rsidP="00E37702">
      <w:pPr>
        <w:pStyle w:val="Fodnotetekst"/>
      </w:pPr>
      <w:r w:rsidRPr="00DC4F35">
        <w:rPr>
          <w:rStyle w:val="Fodnotehenvisning"/>
        </w:rPr>
        <w:footnoteRef/>
      </w:r>
      <w:r w:rsidRPr="00DC4F35">
        <w:t xml:space="preserve"> Se Microsofts hjemmeside: </w:t>
      </w:r>
      <w:hyperlink r:id="rId13" w:history="1">
        <w:r w:rsidRPr="00DC4F35">
          <w:rPr>
            <w:rStyle w:val="Hyperlink"/>
          </w:rPr>
          <w:t>https://learn.microsoft.com/en-us/azure/security/fundamentals/customer-lockbox-overview</w:t>
        </w:r>
      </w:hyperlink>
      <w:r w:rsidRPr="00DC4F35">
        <w:t xml:space="preserve"> (senest tilgået den 22. marts 2024).</w:t>
      </w:r>
    </w:p>
  </w:footnote>
  <w:footnote w:id="42">
    <w:p w14:paraId="56EC1E24" w14:textId="68B3D709" w:rsidR="00C83C91" w:rsidRPr="00DC4F35" w:rsidRDefault="00C83C91" w:rsidP="00206FF6">
      <w:pPr>
        <w:pStyle w:val="Fodnotetekst"/>
      </w:pPr>
      <w:r w:rsidRPr="00DC4F35">
        <w:rPr>
          <w:rStyle w:val="Fodnotehenvisning"/>
        </w:rPr>
        <w:footnoteRef/>
      </w:r>
      <w:r w:rsidRPr="00DC4F35">
        <w:t xml:space="preserve"> Microsoft Irelands databehandleraftale, side 4.</w:t>
      </w:r>
    </w:p>
  </w:footnote>
  <w:footnote w:id="43">
    <w:p w14:paraId="4492D8AF" w14:textId="161E690B" w:rsidR="00C83C91" w:rsidRPr="00DC4F35" w:rsidRDefault="00C83C91">
      <w:pPr>
        <w:pStyle w:val="Fodnotetekst"/>
      </w:pPr>
      <w:r w:rsidRPr="00DC4F35">
        <w:rPr>
          <w:rStyle w:val="Fodnotehenvisning"/>
        </w:rPr>
        <w:footnoteRef/>
      </w:r>
      <w:r w:rsidRPr="00DC4F35">
        <w:t xml:space="preserve"> Microsofts hjemmeside: </w:t>
      </w:r>
      <w:hyperlink r:id="rId14" w:history="1">
        <w:r w:rsidRPr="00DC4F35">
          <w:rPr>
            <w:rStyle w:val="Hyperlink"/>
          </w:rPr>
          <w:t>https://learn.microsoft.com/en-us/purview/customer-lockbox-requests</w:t>
        </w:r>
      </w:hyperlink>
      <w:r w:rsidRPr="00DC4F35">
        <w:t xml:space="preserve"> (senest tilgået den 11. april 2024). </w:t>
      </w:r>
    </w:p>
  </w:footnote>
  <w:footnote w:id="44">
    <w:p w14:paraId="7E515AA0" w14:textId="006990F0" w:rsidR="00C83C91" w:rsidRPr="00DC4F35" w:rsidRDefault="00C83C91">
      <w:pPr>
        <w:pStyle w:val="Fodnotetekst"/>
      </w:pPr>
      <w:r w:rsidRPr="00DC4F35">
        <w:rPr>
          <w:rStyle w:val="Fodnotehenvisning"/>
        </w:rPr>
        <w:footnoteRef/>
      </w:r>
      <w:r w:rsidRPr="00DC4F35">
        <w:t xml:space="preserve"> </w:t>
      </w:r>
      <w:proofErr w:type="spellStart"/>
      <w:r w:rsidRPr="00DC4F35">
        <w:t>Smh</w:t>
      </w:r>
      <w:proofErr w:type="spellEnd"/>
      <w:r w:rsidRPr="00DC4F35">
        <w:t>. eksempel 10 på side 27 i Datatilsynet vejledning om cloud, marts 2022 og EU-Domstolens dom af 6. november 2003 i sag C-101/01, Lindqvist.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BFA8" w14:textId="0E44A4F5" w:rsidR="00C83C91" w:rsidRPr="00DC4F35" w:rsidRDefault="00C83C91">
    <w:pPr>
      <w:pStyle w:val="Sidehoved"/>
    </w:pPr>
    <w:r w:rsidRPr="00DC4F35">
      <w:rPr>
        <w:noProof/>
        <w:lang w:eastAsia="da-DK"/>
      </w:rPr>
      <w:drawing>
        <wp:anchor distT="0" distB="0" distL="114300" distR="114300" simplePos="0" relativeHeight="251664896" behindDoc="0" locked="0" layoutInCell="1" allowOverlap="1" wp14:anchorId="7A791195" wp14:editId="3F7A76EB">
          <wp:simplePos x="0" y="0"/>
          <wp:positionH relativeFrom="page">
            <wp:align>left</wp:align>
          </wp:positionH>
          <wp:positionV relativeFrom="page">
            <wp:align>top</wp:align>
          </wp:positionV>
          <wp:extent cx="2812415" cy="867410"/>
          <wp:effectExtent l="0" t="0" r="0" b="0"/>
          <wp:wrapNone/>
          <wp:docPr id="187900578" name="Logo_ENG_KA12" hidden="1"/>
          <wp:cNvGraphicFramePr/>
          <a:graphic xmlns:a="http://schemas.openxmlformats.org/drawingml/2006/main">
            <a:graphicData uri="http://schemas.openxmlformats.org/drawingml/2006/picture">
              <pic:pic xmlns:pic="http://schemas.openxmlformats.org/drawingml/2006/picture">
                <pic:nvPicPr>
                  <pic:cNvPr id="187900578" name="Logo_ENG_KA12" hidden="1"/>
                  <pic:cNvPicPr/>
                </pic:nvPicPr>
                <pic:blipFill>
                  <a:blip r:embed="rId1">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61824" behindDoc="0" locked="0" layoutInCell="1" allowOverlap="1" wp14:anchorId="42C875CF" wp14:editId="3BF64DD1">
          <wp:simplePos x="0" y="0"/>
          <wp:positionH relativeFrom="page">
            <wp:align>left</wp:align>
          </wp:positionH>
          <wp:positionV relativeFrom="page">
            <wp:align>top</wp:align>
          </wp:positionV>
          <wp:extent cx="2812415" cy="867410"/>
          <wp:effectExtent l="0" t="0" r="0" b="0"/>
          <wp:wrapNone/>
          <wp:docPr id="749879018" name="Logo_KA9"/>
          <wp:cNvGraphicFramePr/>
          <a:graphic xmlns:a="http://schemas.openxmlformats.org/drawingml/2006/main">
            <a:graphicData uri="http://schemas.openxmlformats.org/drawingml/2006/picture">
              <pic:pic xmlns:pic="http://schemas.openxmlformats.org/drawingml/2006/picture">
                <pic:nvPicPr>
                  <pic:cNvPr id="749879018" name="Logo_KA9"/>
                  <pic:cNvPicPr/>
                </pic:nvPicPr>
                <pic:blipFill>
                  <a:blip r:embed="rId2">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58752" behindDoc="0" locked="0" layoutInCell="1" allowOverlap="1" wp14:anchorId="0CB750C8" wp14:editId="08ED8949">
          <wp:simplePos x="0" y="0"/>
          <wp:positionH relativeFrom="page">
            <wp:align>left</wp:align>
          </wp:positionH>
          <wp:positionV relativeFrom="page">
            <wp:align>top</wp:align>
          </wp:positionV>
          <wp:extent cx="2812415" cy="867410"/>
          <wp:effectExtent l="0" t="0" r="0" b="0"/>
          <wp:wrapNone/>
          <wp:docPr id="56300983" name="Logo_ENG_PS6" hidden="1"/>
          <wp:cNvGraphicFramePr/>
          <a:graphic xmlns:a="http://schemas.openxmlformats.org/drawingml/2006/main">
            <a:graphicData uri="http://schemas.openxmlformats.org/drawingml/2006/picture">
              <pic:pic xmlns:pic="http://schemas.openxmlformats.org/drawingml/2006/picture">
                <pic:nvPicPr>
                  <pic:cNvPr id="56300983" name="Logo_ENG_PS6" hidden="1"/>
                  <pic:cNvPicPr/>
                </pic:nvPicPr>
                <pic:blipFill>
                  <a:blip r:embed="rId3">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55680" behindDoc="0" locked="0" layoutInCell="1" allowOverlap="1" wp14:anchorId="2A7814AD" wp14:editId="05494490">
          <wp:simplePos x="0" y="0"/>
          <wp:positionH relativeFrom="page">
            <wp:align>left</wp:align>
          </wp:positionH>
          <wp:positionV relativeFrom="page">
            <wp:align>top</wp:align>
          </wp:positionV>
          <wp:extent cx="2812415" cy="867410"/>
          <wp:effectExtent l="0" t="0" r="0" b="0"/>
          <wp:wrapNone/>
          <wp:docPr id="1892903149" name="Logo_PS3" hidden="1"/>
          <wp:cNvGraphicFramePr/>
          <a:graphic xmlns:a="http://schemas.openxmlformats.org/drawingml/2006/main">
            <a:graphicData uri="http://schemas.openxmlformats.org/drawingml/2006/picture">
              <pic:pic xmlns:pic="http://schemas.openxmlformats.org/drawingml/2006/picture">
                <pic:nvPicPr>
                  <pic:cNvPr id="1892903149" name="Logo_PS3" hidden="1"/>
                  <pic:cNvPicPr/>
                </pic:nvPicPr>
                <pic:blipFill>
                  <a:blip r:embed="rId3">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009B6FBB">
      <w:rPr>
        <w:noProof/>
      </w:rPr>
      <w:pict w14:anchorId="16F150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18326782" o:spid="_x0000_s2058" type="#_x0000_t136" style="position:absolute;left:0;text-align:left;margin-left:0;margin-top:0;width:603.95pt;height:75.45pt;rotation:315;z-index:-251650560;mso-position-horizontal:center;mso-position-horizontal-relative:margin;mso-position-vertical:center;mso-position-vertical-relative:margin" o:allowincell="f" fillcolor="silver" stroked="f">
          <v:fill opacity=".5"/>
          <v:textpath style="font-family:&quot;Century&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14" w:name="_Hlk56609872" w:displacedByCustomXml="next"/>
  <w:bookmarkStart w:id="115" w:name="_Hlk56609873" w:displacedByCustomXml="next"/>
  <w:bookmarkStart w:id="116" w:name="_Hlk56609988" w:displacedByCustomXml="next"/>
  <w:bookmarkStart w:id="117" w:name="_Hlk56609989" w:displacedByCustomXml="next"/>
  <w:bookmarkStart w:id="118" w:name="_Hlk56609994" w:displacedByCustomXml="next"/>
  <w:bookmarkStart w:id="119" w:name="_Hlk56609995" w:displacedByCustomXml="next"/>
  <w:bookmarkStart w:id="120" w:name="_Hlk56610098" w:displacedByCustomXml="next"/>
  <w:bookmarkStart w:id="121" w:name="_Hlk56610099" w:displacedByCustomXml="next"/>
  <w:bookmarkStart w:id="122" w:name="_Hlk56610210" w:displacedByCustomXml="next"/>
  <w:bookmarkStart w:id="123" w:name="_Hlk56610211" w:displacedByCustomXml="next"/>
  <w:bookmarkStart w:id="124" w:name="_Hlk56610284" w:displacedByCustomXml="next"/>
  <w:bookmarkStart w:id="125" w:name="_Hlk56610285" w:displacedByCustomXml="next"/>
  <w:bookmarkStart w:id="126" w:name="_Hlk56610447" w:displacedByCustomXml="next"/>
  <w:bookmarkStart w:id="127" w:name="_Hlk56610448" w:displacedByCustomXml="next"/>
  <w:bookmarkStart w:id="128" w:name="_Hlk56610492" w:displacedByCustomXml="next"/>
  <w:bookmarkStart w:id="129" w:name="_Hlk56610493" w:displacedByCustomXml="next"/>
  <w:sdt>
    <w:sdtPr>
      <w:alias w:val="Date"/>
      <w:tag w:val="{&quot;templafy&quot;:{&quot;id&quot;:&quot;ba8129b1-e854-4ce5-93aa-7c63ea687668&quot;}}"/>
      <w:id w:val="1475332035"/>
      <w:placeholder>
        <w:docPart w:val="EE40C39127CD4014B1FC91A9709E6AEA"/>
      </w:placeholder>
    </w:sdtPr>
    <w:sdtEndPr/>
    <w:sdtContent>
      <w:p w14:paraId="2C3B80AB" w14:textId="46164087" w:rsidR="00C83C91" w:rsidRPr="00DC4F35" w:rsidRDefault="00584314">
        <w:pPr>
          <w:pStyle w:val="Template-Dato"/>
        </w:pPr>
        <w:r>
          <w:t>3</w:t>
        </w:r>
        <w:r w:rsidR="00C83C91" w:rsidRPr="00DC4F35">
          <w:t xml:space="preserve">. </w:t>
        </w:r>
        <w:r>
          <w:t>juli</w:t>
        </w:r>
        <w:r w:rsidR="00C83C91" w:rsidRPr="00DC4F35">
          <w:t xml:space="preserve"> 2024</w:t>
        </w:r>
      </w:p>
    </w:sdtContent>
  </w:sdt>
  <w:sdt>
    <w:sdtPr>
      <w:alias w:val="Initials"/>
      <w:id w:val="-230849139"/>
      <w:placeholder>
        <w:docPart w:val="885EC6CB434446E8AE0C9FBDA55E54DB"/>
      </w:placeholder>
    </w:sdtPr>
    <w:sdtEndPr/>
    <w:sdtContent>
      <w:p w14:paraId="01C3DF37" w14:textId="479ADC02" w:rsidR="00C83C91" w:rsidRPr="00DC4F35" w:rsidRDefault="009B6FBB" w:rsidP="00096231">
        <w:pPr>
          <w:pStyle w:val="Template-Docinfo-Nospace"/>
        </w:pPr>
        <w:sdt>
          <w:sdtPr>
            <w:alias w:val="Case No"/>
            <w:tag w:val="{&quot;templafy&quot;:{&quot;id&quot;:&quot;fec8773f-8eba-4b25-8c2c-5b080f2a0c02&quot;}}"/>
            <w:id w:val="-509679628"/>
            <w:placeholder>
              <w:docPart w:val="9CA5ECCF8F5A4F03B73A575266D38B82"/>
            </w:placeholder>
          </w:sdtPr>
          <w:sdtEndPr/>
          <w:sdtContent>
            <w:r w:rsidR="00C83C91" w:rsidRPr="00DC4F35">
              <w:t>4012897</w:t>
            </w:r>
          </w:sdtContent>
        </w:sdt>
        <w:r w:rsidR="00C83C91" w:rsidRPr="00DC4F35">
          <w:t xml:space="preserve"> HOL / </w:t>
        </w:r>
        <w:sdt>
          <w:sdtPr>
            <w:alias w:val="Sagsansvarlig ini"/>
            <w:tag w:val="{&quot;SkabelonDesign&quot;:{&quot;type&quot;:&quot;Text&quot;,&quot;binding&quot;:&quot;Sags.Initialer&quot;,&quot;visibility&quot;:{&quot;action&quot;:&quot;hide&quot;,&quot;compareValue&quot;:[&quot;&quot;],&quot;binding&quot;:&quot;Sags.Initialer&quot;,&quot;operator&quot;:&quot;equals&quot;}}}"/>
            <w:id w:val="-452167933"/>
            <w:placeholder>
              <w:docPart w:val="C8DAAF39CCB9482D98E05FCD7C75D220"/>
            </w:placeholder>
          </w:sdtPr>
          <w:sdtEndPr/>
          <w:sdtContent>
            <w:r w:rsidR="00C83C91">
              <w:t>MSO / LOKH</w:t>
            </w:r>
          </w:sdtContent>
        </w:sdt>
      </w:p>
    </w:sdtContent>
  </w:sdt>
  <w:p w14:paraId="5256F235" w14:textId="77777777" w:rsidR="00C83C91" w:rsidRPr="00DC4F35" w:rsidRDefault="00C83C91" w:rsidP="002B467D">
    <w:pPr>
      <w:pStyle w:val="Header-line"/>
    </w:pPr>
  </w:p>
  <w:p w14:paraId="6C96C20E" w14:textId="387A8384" w:rsidR="00C83C91" w:rsidRPr="00DC4F35" w:rsidRDefault="00C83C91" w:rsidP="002B467D">
    <w:pPr>
      <w:pStyle w:val="Sidehoved"/>
    </w:pPr>
    <w:r w:rsidRPr="00DC4F35">
      <w:rPr>
        <w:noProof/>
        <w:lang w:eastAsia="da-DK"/>
      </w:rPr>
      <w:drawing>
        <wp:anchor distT="0" distB="0" distL="114300" distR="114300" simplePos="0" relativeHeight="251663872" behindDoc="0" locked="0" layoutInCell="1" allowOverlap="1" wp14:anchorId="4F14381E" wp14:editId="10A660D2">
          <wp:simplePos x="0" y="0"/>
          <wp:positionH relativeFrom="page">
            <wp:align>left</wp:align>
          </wp:positionH>
          <wp:positionV relativeFrom="page">
            <wp:align>top</wp:align>
          </wp:positionV>
          <wp:extent cx="2812415" cy="867410"/>
          <wp:effectExtent l="0" t="0" r="0" b="0"/>
          <wp:wrapNone/>
          <wp:docPr id="1728224705" name="Logo_ENG_KA11" hidden="1"/>
          <wp:cNvGraphicFramePr/>
          <a:graphic xmlns:a="http://schemas.openxmlformats.org/drawingml/2006/main">
            <a:graphicData uri="http://schemas.openxmlformats.org/drawingml/2006/picture">
              <pic:pic xmlns:pic="http://schemas.openxmlformats.org/drawingml/2006/picture">
                <pic:nvPicPr>
                  <pic:cNvPr id="1728224705" name="Logo_ENG_KA11" hidden="1"/>
                  <pic:cNvPicPr/>
                </pic:nvPicPr>
                <pic:blipFill>
                  <a:blip r:embed="rId1">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60800" behindDoc="0" locked="0" layoutInCell="1" allowOverlap="1" wp14:anchorId="27656C56" wp14:editId="0C3E757F">
          <wp:simplePos x="0" y="0"/>
          <wp:positionH relativeFrom="page">
            <wp:align>left</wp:align>
          </wp:positionH>
          <wp:positionV relativeFrom="page">
            <wp:align>top</wp:align>
          </wp:positionV>
          <wp:extent cx="2812415" cy="867410"/>
          <wp:effectExtent l="0" t="0" r="0" b="0"/>
          <wp:wrapNone/>
          <wp:docPr id="172950658" name="Logo_KA8"/>
          <wp:cNvGraphicFramePr/>
          <a:graphic xmlns:a="http://schemas.openxmlformats.org/drawingml/2006/main">
            <a:graphicData uri="http://schemas.openxmlformats.org/drawingml/2006/picture">
              <pic:pic xmlns:pic="http://schemas.openxmlformats.org/drawingml/2006/picture">
                <pic:nvPicPr>
                  <pic:cNvPr id="172950658" name="Logo_KA8"/>
                  <pic:cNvPicPr/>
                </pic:nvPicPr>
                <pic:blipFill>
                  <a:blip r:embed="rId2">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57728" behindDoc="0" locked="0" layoutInCell="1" allowOverlap="1" wp14:anchorId="45B40A58" wp14:editId="260AF689">
          <wp:simplePos x="0" y="0"/>
          <wp:positionH relativeFrom="page">
            <wp:align>left</wp:align>
          </wp:positionH>
          <wp:positionV relativeFrom="page">
            <wp:align>top</wp:align>
          </wp:positionV>
          <wp:extent cx="2812415" cy="867410"/>
          <wp:effectExtent l="0" t="0" r="0" b="0"/>
          <wp:wrapNone/>
          <wp:docPr id="1527707574" name="Logo_ENG_PS5" hidden="1"/>
          <wp:cNvGraphicFramePr/>
          <a:graphic xmlns:a="http://schemas.openxmlformats.org/drawingml/2006/main">
            <a:graphicData uri="http://schemas.openxmlformats.org/drawingml/2006/picture">
              <pic:pic xmlns:pic="http://schemas.openxmlformats.org/drawingml/2006/picture">
                <pic:nvPicPr>
                  <pic:cNvPr id="1527707574" name="Logo_ENG_PS5" hidden="1"/>
                  <pic:cNvPicPr/>
                </pic:nvPicPr>
                <pic:blipFill>
                  <a:blip r:embed="rId3">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54656" behindDoc="0" locked="0" layoutInCell="1" allowOverlap="1" wp14:anchorId="0299174F" wp14:editId="5D439D00">
          <wp:simplePos x="0" y="0"/>
          <wp:positionH relativeFrom="page">
            <wp:align>left</wp:align>
          </wp:positionH>
          <wp:positionV relativeFrom="page">
            <wp:align>top</wp:align>
          </wp:positionV>
          <wp:extent cx="2812415" cy="867410"/>
          <wp:effectExtent l="0" t="0" r="0" b="0"/>
          <wp:wrapNone/>
          <wp:docPr id="1931813707" name="Logo_PS2" hidden="1"/>
          <wp:cNvGraphicFramePr/>
          <a:graphic xmlns:a="http://schemas.openxmlformats.org/drawingml/2006/main">
            <a:graphicData uri="http://schemas.openxmlformats.org/drawingml/2006/picture">
              <pic:pic xmlns:pic="http://schemas.openxmlformats.org/drawingml/2006/picture">
                <pic:nvPicPr>
                  <pic:cNvPr id="1931813707" name="Logo_PS2" hidden="1"/>
                  <pic:cNvPicPr/>
                </pic:nvPicPr>
                <pic:blipFill>
                  <a:blip r:embed="rId3">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mc:AlternateContent>
        <mc:Choice Requires="wps">
          <w:drawing>
            <wp:anchor distT="0" distB="0" distL="114300" distR="114300" simplePos="0" relativeHeight="251651584" behindDoc="1" locked="0" layoutInCell="1" allowOverlap="1" wp14:anchorId="4D9C6464" wp14:editId="0BA9A95F">
              <wp:simplePos x="0" y="0"/>
              <wp:positionH relativeFrom="rightMargin">
                <wp:align>right</wp:align>
              </wp:positionH>
              <wp:positionV relativeFrom="paragraph">
                <wp:posOffset>0</wp:posOffset>
              </wp:positionV>
              <wp:extent cx="6696000" cy="342000"/>
              <wp:effectExtent l="0" t="0" r="0" b="0"/>
              <wp:wrapNone/>
              <wp:docPr id="6" name="Watermark_Hide" descr="{&quot;templafy&quot;:{&quot;id&quot;:&quot;72c8f1a8-ac31-4f67-b60b-71b8a4c449c9&quot;}}" hidden="1"/>
              <wp:cNvGraphicFramePr/>
              <a:graphic xmlns:a="http://schemas.openxmlformats.org/drawingml/2006/main">
                <a:graphicData uri="http://schemas.microsoft.com/office/word/2010/wordprocessingShape">
                  <wps:wsp>
                    <wps:cNvSpPr txBox="1"/>
                    <wps:spPr>
                      <a:xfrm>
                        <a:off x="0" y="0"/>
                        <a:ext cx="6696000" cy="342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sdt>
                          <w:sdtPr>
                            <w:rPr>
                              <w:vanish/>
                            </w:rPr>
                            <w:alias w:val="Watermark"/>
                            <w:tag w:val="{&quot;templafy&quot;:{&quot;id&quot;:&quot;4e1540c0-1aab-4dbe-ba4c-86dedf78827c&quot;}}"/>
                            <w:id w:val="-793522139"/>
                          </w:sdtPr>
                          <w:sdtEndPr/>
                          <w:sdtContent>
                            <w:p w14:paraId="7A5AE810" w14:textId="0249F0BA" w:rsidR="00C83C91" w:rsidRPr="00DC4F35" w:rsidRDefault="00C83C91">
                              <w:pPr>
                                <w:pStyle w:val="Vandmrke"/>
                                <w:rPr>
                                  <w:vanish/>
                                </w:rPr>
                              </w:pPr>
                              <w:r w:rsidRPr="00DC4F35">
                                <w:rPr>
                                  <w:vanish/>
                                </w:rPr>
                                <w:t>Ingen</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C6464" id="_x0000_t202" coordsize="21600,21600" o:spt="202" path="m,l,21600r21600,l21600,xe">
              <v:stroke joinstyle="miter"/>
              <v:path gradientshapeok="t" o:connecttype="rect"/>
            </v:shapetype>
            <v:shape id="Watermark_Hide" o:spid="_x0000_s1026" type="#_x0000_t202" alt="{&quot;templafy&quot;:{&quot;id&quot;:&quot;72c8f1a8-ac31-4f67-b60b-71b8a4c449c9&quot;}}" style="position:absolute;left:0;text-align:left;margin-left:476.05pt;margin-top:0;width:527.25pt;height:26.95pt;z-index:-251664896;visibility:hidden;mso-wrap-style:square;mso-width-percent:0;mso-height-percent:0;mso-wrap-distance-left:9pt;mso-wrap-distance-top:0;mso-wrap-distance-right:9pt;mso-wrap-distance-bottom:0;mso-position-horizontal:righ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" filled="f" fillcolor="white [3201]" stroked="f" strokeweight=".5pt">
              <v:textbox style="mso-fit-shape-to-text:t" inset="0,0,0,0">
                <w:txbxContent>
                  <w:sdt>
                    <w:sdtPr>
                      <w:rPr>
                        <w:vanish/>
                      </w:rPr>
                      <w:alias w:val="Watermark"/>
                      <w:tag w:val="{&quot;templafy&quot;:{&quot;id&quot;:&quot;4e1540c0-1aab-4dbe-ba4c-86dedf78827c&quot;}}"/>
                      <w:id w:val="-793522139"/>
                    </w:sdtPr>
                    <w:sdtEndPr/>
                    <w:sdtContent>
                      <w:p w14:paraId="7A5AE810" w14:textId="0249F0BA" w:rsidR="00C83C91" w:rsidRPr="00DC4F35" w:rsidRDefault="00C83C91">
                        <w:pPr>
                          <w:pStyle w:val="Vandmrke"/>
                          <w:rPr>
                            <w:vanish/>
                          </w:rPr>
                        </w:pPr>
                        <w:r w:rsidRPr="00DC4F35">
                          <w:rPr>
                            <w:vanish/>
                          </w:rPr>
                          <w:t>Ingen</w:t>
                        </w:r>
                      </w:p>
                    </w:sdtContent>
                  </w:sdt>
                </w:txbxContent>
              </v:textbox>
              <w10:wrap anchorx="margin"/>
            </v:shape>
          </w:pict>
        </mc:Fallback>
      </mc:AlternateContent>
    </w:r>
    <w:r w:rsidRPr="00DC4F35">
      <w:rPr>
        <w:noProof/>
        <w:lang w:eastAsia="da-DK"/>
      </w:rPr>
      <mc:AlternateContent>
        <mc:Choice Requires="wps">
          <w:drawing>
            <wp:anchor distT="0" distB="0" distL="114300" distR="114300" simplePos="0" relativeHeight="251652608" behindDoc="0" locked="1" layoutInCell="1" allowOverlap="1" wp14:anchorId="17FCE083" wp14:editId="61E92531">
              <wp:simplePos x="0" y="0"/>
              <wp:positionH relativeFrom="rightMargin">
                <wp:posOffset>-1886585</wp:posOffset>
              </wp:positionH>
              <wp:positionV relativeFrom="page">
                <wp:align>top</wp:align>
              </wp:positionV>
              <wp:extent cx="219600" cy="1036800"/>
              <wp:effectExtent l="0" t="0" r="9525" b="0"/>
              <wp:wrapNone/>
              <wp:docPr id="5" name="Rectangle 5"/>
              <wp:cNvGraphicFramePr/>
              <a:graphic xmlns:a="http://schemas.openxmlformats.org/drawingml/2006/main">
                <a:graphicData uri="http://schemas.microsoft.com/office/word/2010/wordprocessingShape">
                  <wps:wsp>
                    <wps:cNvSpPr/>
                    <wps:spPr>
                      <a:xfrm>
                        <a:off x="0" y="0"/>
                        <a:ext cx="219600" cy="10368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4F07C0" w14:textId="77777777" w:rsidR="00C83C91" w:rsidRDefault="00C83C91" w:rsidP="003644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FCE083" id="Rectangle 5" o:spid="_x0000_s1027" style="position:absolute;left:0;text-align:left;margin-left:-148.55pt;margin-top:0;width:17.3pt;height:81.65pt;z-index:251652608;visibility:visible;mso-wrap-style:square;mso-width-percent:0;mso-height-percent:0;mso-wrap-distance-left:9pt;mso-wrap-distance-top:0;mso-wrap-distance-right:9pt;mso-wrap-distance-bottom:0;mso-position-horizontal:absolute;mso-position-horizontal-relative:right-margin-area;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" fillcolor="white [3212]" stroked="f" strokeweight="2pt">
              <v:textbox>
                <w:txbxContent>
                  <w:p w14:paraId="3B4F07C0" w14:textId="77777777" w:rsidR="00C83C91" w:rsidRDefault="00C83C91" w:rsidP="0036440D">
                    <w:pPr>
                      <w:jc w:val="center"/>
                    </w:pPr>
                  </w:p>
                </w:txbxContent>
              </v:textbox>
              <w10:wrap anchorx="margin" anchory="page"/>
              <w10:anchorlock/>
            </v:rect>
          </w:pict>
        </mc:Fallback>
      </mc:AlternateContent>
    </w:r>
    <w:bookmarkEnd w:id="129"/>
    <w:bookmarkEnd w:id="128"/>
    <w:bookmarkEnd w:id="127"/>
    <w:bookmarkEnd w:id="126"/>
    <w:bookmarkEnd w:id="125"/>
    <w:bookmarkEnd w:id="124"/>
    <w:bookmarkEnd w:id="123"/>
    <w:bookmarkEnd w:id="122"/>
    <w:bookmarkEnd w:id="121"/>
    <w:bookmarkEnd w:id="120"/>
    <w:bookmarkEnd w:id="119"/>
    <w:bookmarkEnd w:id="118"/>
    <w:bookmarkEnd w:id="117"/>
    <w:bookmarkEnd w:id="116"/>
    <w:bookmarkEnd w:id="115"/>
    <w:bookmarkEnd w:id="11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30" w:name="_Hlk56609358" w:displacedByCustomXml="next"/>
  <w:bookmarkStart w:id="131" w:name="_Hlk56609359" w:displacedByCustomXml="next"/>
  <w:sdt>
    <w:sdtPr>
      <w:alias w:val="Date"/>
      <w:tag w:val="{&quot;templafy&quot;:{&quot;id&quot;:&quot;0407dcda-7ad9-41ea-a6c7-6b6539f3a714&quot;}}"/>
      <w:id w:val="-1605796074"/>
      <w:placeholder>
        <w:docPart w:val="AF915FA4C92442FAB83366A207D3689A"/>
      </w:placeholder>
    </w:sdtPr>
    <w:sdtEndPr/>
    <w:sdtContent>
      <w:p w14:paraId="7EBB2D84" w14:textId="724BA153" w:rsidR="00C83C91" w:rsidRPr="00DC4F35" w:rsidRDefault="00584314">
        <w:pPr>
          <w:pStyle w:val="Template-Dato"/>
        </w:pPr>
        <w:r>
          <w:t>3</w:t>
        </w:r>
        <w:r w:rsidR="00C83C91" w:rsidRPr="00DC4F35">
          <w:t xml:space="preserve">. </w:t>
        </w:r>
        <w:r>
          <w:t>juli</w:t>
        </w:r>
        <w:r w:rsidR="00C83C91" w:rsidRPr="00DC4F35">
          <w:t xml:space="preserve"> 2024</w:t>
        </w:r>
      </w:p>
    </w:sdtContent>
  </w:sdt>
  <w:sdt>
    <w:sdtPr>
      <w:alias w:val="Initials"/>
      <w:id w:val="-787657008"/>
      <w:placeholder>
        <w:docPart w:val="9D53DEED5E51448D8C7619DBFFCEE7E5"/>
      </w:placeholder>
    </w:sdtPr>
    <w:sdtEndPr/>
    <w:sdtContent>
      <w:p w14:paraId="6DCE207B" w14:textId="3B940D64" w:rsidR="00C83C91" w:rsidRPr="00DC4F35" w:rsidRDefault="009B6FBB" w:rsidP="00096231">
        <w:pPr>
          <w:pStyle w:val="Template-Docinfo-Nospace"/>
        </w:pPr>
        <w:sdt>
          <w:sdtPr>
            <w:alias w:val="Case No"/>
            <w:tag w:val="{&quot;templafy&quot;:{&quot;id&quot;:&quot;cd9c3895-16ea-40db-a4cb-597ba2da7a97&quot;}}"/>
            <w:id w:val="-707490084"/>
            <w:placeholder>
              <w:docPart w:val="CACA380F3EA448A89108F3861B2D862C"/>
            </w:placeholder>
          </w:sdtPr>
          <w:sdtEndPr/>
          <w:sdtContent>
            <w:r w:rsidR="00C83C91" w:rsidRPr="00DC4F35">
              <w:t>4012897</w:t>
            </w:r>
          </w:sdtContent>
        </w:sdt>
        <w:r w:rsidR="00C83C91" w:rsidRPr="00DC4F35">
          <w:t xml:space="preserve"> HOL / </w:t>
        </w:r>
        <w:sdt>
          <w:sdtPr>
            <w:alias w:val="Sagsansvarlig ini"/>
            <w:tag w:val="{&quot;SkabelonDesign&quot;:{&quot;type&quot;:&quot;Text&quot;,&quot;binding&quot;:&quot;Sags.Initialer&quot;,&quot;visibility&quot;:{&quot;action&quot;:&quot;hide&quot;,&quot;compareValue&quot;:[&quot;&quot;],&quot;binding&quot;:&quot;Sags.Initialer&quot;,&quot;operator&quot;:&quot;equals&quot;}}}"/>
            <w:id w:val="-326060715"/>
            <w:placeholder>
              <w:docPart w:val="66DB202E5C2F442594547554D97ABEDD"/>
            </w:placeholder>
          </w:sdtPr>
          <w:sdtEndPr/>
          <w:sdtContent>
            <w:r w:rsidR="00C83C91">
              <w:t>MSO / LOKH</w:t>
            </w:r>
          </w:sdtContent>
        </w:sdt>
      </w:p>
    </w:sdtContent>
  </w:sdt>
  <w:p w14:paraId="17C0EE85" w14:textId="77777777" w:rsidR="00C83C91" w:rsidRPr="00DC4F35" w:rsidRDefault="00C83C91" w:rsidP="00862BBB">
    <w:pPr>
      <w:pStyle w:val="Header-line"/>
    </w:pPr>
  </w:p>
  <w:sdt>
    <w:sdtPr>
      <w:alias w:val="DirectDetails"/>
      <w:id w:val="1831247065"/>
      <w:placeholder>
        <w:docPart w:val="C2AEAF7C64924B13AC7BBC767E7D3BC7"/>
      </w:placeholder>
    </w:sdtPr>
    <w:sdtEndPr/>
    <w:sdtContent>
      <w:sdt>
        <w:sdtPr>
          <w:alias w:val="DD"/>
          <w:tag w:val="{&quot;SkabelonDesign&quot;:{&quot;type&quot;:&quot;Text&quot;,&quot;binding&quot;:&quot;DirectDetails&quot;}}"/>
          <w:id w:val="-698085027"/>
          <w:placeholder>
            <w:docPart w:val="0C49EA08A2C4461AA49CC7885C493357"/>
          </w:placeholde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BB" w:rsidP="00B83CFC">
            <w:pPr>
              <w:pStyle w:val="Template-Brugeroplysninger"/>
              <w:rPr>
                <w:rFonts w:ascii="Century Schoolbook" w:hAnsi="Century Schoolbook"/>
                <w:sz w:val="20"/>
              </w:rPr>
            </w:pPr>
          </w:p>
        </w:sdtContent>
      </w:sdt>
    </w:sdtContent>
  </w:sdt>
  <w:p w14:paraId="77F40335" w14:textId="0A3D6EE0" w:rsidR="00C83C91" w:rsidRPr="00DC4F35" w:rsidRDefault="00C83C91" w:rsidP="00BD69AA">
    <w:pPr>
      <w:pStyle w:val="Sidehoved"/>
      <w:jc w:val="right"/>
    </w:pPr>
    <w:r w:rsidRPr="00DC4F35">
      <w:rPr>
        <w:noProof/>
        <w:lang w:eastAsia="da-DK"/>
      </w:rPr>
      <w:drawing>
        <wp:anchor distT="0" distB="0" distL="114300" distR="114300" simplePos="0" relativeHeight="251662848" behindDoc="0" locked="0" layoutInCell="1" allowOverlap="1" wp14:anchorId="71D32B6A" wp14:editId="6E158003">
          <wp:simplePos x="0" y="0"/>
          <wp:positionH relativeFrom="page">
            <wp:align>left</wp:align>
          </wp:positionH>
          <wp:positionV relativeFrom="page">
            <wp:align>top</wp:align>
          </wp:positionV>
          <wp:extent cx="2812415" cy="867410"/>
          <wp:effectExtent l="0" t="0" r="0" b="0"/>
          <wp:wrapNone/>
          <wp:docPr id="257867311" name="Logo_ENG_KA10" hidden="1"/>
          <wp:cNvGraphicFramePr/>
          <a:graphic xmlns:a="http://schemas.openxmlformats.org/drawingml/2006/main">
            <a:graphicData uri="http://schemas.openxmlformats.org/drawingml/2006/picture">
              <pic:pic xmlns:pic="http://schemas.openxmlformats.org/drawingml/2006/picture">
                <pic:nvPicPr>
                  <pic:cNvPr id="257867311" name="Logo_ENG_KA10" hidden="1"/>
                  <pic:cNvPicPr/>
                </pic:nvPicPr>
                <pic:blipFill>
                  <a:blip r:embed="rId1">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59776" behindDoc="0" locked="0" layoutInCell="1" allowOverlap="1" wp14:anchorId="1017779D" wp14:editId="6E27F473">
          <wp:simplePos x="0" y="0"/>
          <wp:positionH relativeFrom="page">
            <wp:align>left</wp:align>
          </wp:positionH>
          <wp:positionV relativeFrom="page">
            <wp:align>top</wp:align>
          </wp:positionV>
          <wp:extent cx="2812415" cy="867410"/>
          <wp:effectExtent l="0" t="0" r="0" b="0"/>
          <wp:wrapNone/>
          <wp:docPr id="688936962" name="Logo_KA7"/>
          <wp:cNvGraphicFramePr/>
          <a:graphic xmlns:a="http://schemas.openxmlformats.org/drawingml/2006/main">
            <a:graphicData uri="http://schemas.openxmlformats.org/drawingml/2006/picture">
              <pic:pic xmlns:pic="http://schemas.openxmlformats.org/drawingml/2006/picture">
                <pic:nvPicPr>
                  <pic:cNvPr id="688936962" name="Logo_KA7"/>
                  <pic:cNvPicPr/>
                </pic:nvPicPr>
                <pic:blipFill>
                  <a:blip r:embed="rId2">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56704" behindDoc="0" locked="0" layoutInCell="1" allowOverlap="1" wp14:anchorId="78C6791E" wp14:editId="0B510191">
          <wp:simplePos x="0" y="0"/>
          <wp:positionH relativeFrom="page">
            <wp:align>left</wp:align>
          </wp:positionH>
          <wp:positionV relativeFrom="page">
            <wp:align>top</wp:align>
          </wp:positionV>
          <wp:extent cx="2812415" cy="867410"/>
          <wp:effectExtent l="0" t="0" r="0" b="0"/>
          <wp:wrapNone/>
          <wp:docPr id="679218100" name="Logo_ENG_PS4" hidden="1"/>
          <wp:cNvGraphicFramePr/>
          <a:graphic xmlns:a="http://schemas.openxmlformats.org/drawingml/2006/main">
            <a:graphicData uri="http://schemas.openxmlformats.org/drawingml/2006/picture">
              <pic:pic xmlns:pic="http://schemas.openxmlformats.org/drawingml/2006/picture">
                <pic:nvPicPr>
                  <pic:cNvPr id="679218100" name="Logo_ENG_PS4" hidden="1"/>
                  <pic:cNvPicPr/>
                </pic:nvPicPr>
                <pic:blipFill>
                  <a:blip r:embed="rId3">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w:drawing>
        <wp:anchor distT="0" distB="0" distL="114300" distR="114300" simplePos="0" relativeHeight="251653632" behindDoc="0" locked="0" layoutInCell="1" allowOverlap="1" wp14:anchorId="6CF46074" wp14:editId="3E73B0A2">
          <wp:simplePos x="0" y="0"/>
          <wp:positionH relativeFrom="page">
            <wp:align>left</wp:align>
          </wp:positionH>
          <wp:positionV relativeFrom="page">
            <wp:align>top</wp:align>
          </wp:positionV>
          <wp:extent cx="2812415" cy="867410"/>
          <wp:effectExtent l="0" t="0" r="0" b="0"/>
          <wp:wrapNone/>
          <wp:docPr id="72779276" name="Logo_PS1" hidden="1"/>
          <wp:cNvGraphicFramePr/>
          <a:graphic xmlns:a="http://schemas.openxmlformats.org/drawingml/2006/main">
            <a:graphicData uri="http://schemas.openxmlformats.org/drawingml/2006/picture">
              <pic:pic xmlns:pic="http://schemas.openxmlformats.org/drawingml/2006/picture">
                <pic:nvPicPr>
                  <pic:cNvPr id="72779276" name="Logo_PS1" hidden="1"/>
                  <pic:cNvPicPr/>
                </pic:nvPicPr>
                <pic:blipFill>
                  <a:blip r:embed="rId3">
                    <a:extLst>
                      <a:ext uri="{28A0092B-C50C-407E-A947-70E740481C1C}">
                        <a14:useLocalDpi xmlns:a14="http://schemas.microsoft.com/office/drawing/2010/main" val="0"/>
                      </a:ext>
                    </a:extLst>
                  </a:blip>
                  <a:stretch>
                    <a:fillRect/>
                  </a:stretch>
                </pic:blipFill>
                <pic:spPr>
                  <a:xfrm>
                    <a:off x="0" y="0"/>
                    <a:ext cx="2812415" cy="867410"/>
                  </a:xfrm>
                  <a:prstGeom prst="rect">
                    <a:avLst/>
                  </a:prstGeom>
                </pic:spPr>
              </pic:pic>
            </a:graphicData>
          </a:graphic>
          <wp14:sizeRelH relativeFrom="margin">
            <wp14:pctWidth>0</wp14:pctWidth>
          </wp14:sizeRelH>
          <wp14:sizeRelV relativeFrom="margin">
            <wp14:pctHeight>0</wp14:pctHeight>
          </wp14:sizeRelV>
        </wp:anchor>
      </w:drawing>
    </w:r>
    <w:r w:rsidRPr="00DC4F35">
      <w:rPr>
        <w:noProof/>
        <w:lang w:eastAsia="da-DK"/>
      </w:rPr>
      <mc:AlternateContent>
        <mc:Choice Requires="wps">
          <w:drawing>
            <wp:anchor distT="0" distB="0" distL="114300" distR="114300" simplePos="0" relativeHeight="251649536" behindDoc="1" locked="0" layoutInCell="1" allowOverlap="1" wp14:anchorId="06468795" wp14:editId="06D36507">
              <wp:simplePos x="0" y="0"/>
              <wp:positionH relativeFrom="rightMargin">
                <wp:align>right</wp:align>
              </wp:positionH>
              <wp:positionV relativeFrom="paragraph">
                <wp:posOffset>0</wp:posOffset>
              </wp:positionV>
              <wp:extent cx="6696000" cy="342000"/>
              <wp:effectExtent l="0" t="0" r="0" b="0"/>
              <wp:wrapNone/>
              <wp:docPr id="1" name="Watermark_Hide" descr="{&quot;templafy&quot;:{&quot;id&quot;:&quot;070f1054-212e-488b-a217-347c849a80b7&quot;}}" hidden="1"/>
              <wp:cNvGraphicFramePr/>
              <a:graphic xmlns:a="http://schemas.openxmlformats.org/drawingml/2006/main">
                <a:graphicData uri="http://schemas.microsoft.com/office/word/2010/wordprocessingShape">
                  <wps:wsp>
                    <wps:cNvSpPr txBox="1"/>
                    <wps:spPr>
                      <a:xfrm>
                        <a:off x="0" y="0"/>
                        <a:ext cx="6696000" cy="342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sdt>
                          <w:sdtPr>
                            <w:rPr>
                              <w:vanish/>
                            </w:rPr>
                            <w:alias w:val="Watermark"/>
                            <w:tag w:val="{&quot;templafy&quot;:{&quot;id&quot;:&quot;8c1b5d0e-2864-424d-87bf-d8b1468f6519&quot;}}"/>
                            <w:id w:val="-480319922"/>
                          </w:sdtPr>
                          <w:sdtEndPr/>
                          <w:sdtContent>
                            <w:p w14:paraId="7B97AD7B" w14:textId="11880504" w:rsidR="00C83C91" w:rsidRPr="00DC4F35" w:rsidRDefault="00C83C91">
                              <w:pPr>
                                <w:pStyle w:val="Vandmrke"/>
                                <w:rPr>
                                  <w:vanish/>
                                </w:rPr>
                              </w:pPr>
                              <w:r w:rsidRPr="00DC4F35">
                                <w:rPr>
                                  <w:vanish/>
                                </w:rPr>
                                <w:t>Ingen</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468795" id="_x0000_t202" coordsize="21600,21600" o:spt="202" path="m,l,21600r21600,l21600,xe">
              <v:stroke joinstyle="miter"/>
              <v:path gradientshapeok="t" o:connecttype="rect"/>
            </v:shapetype>
            <v:shape id="_x0000_s1028" type="#_x0000_t202" alt="{&quot;templafy&quot;:{&quot;id&quot;:&quot;070f1054-212e-488b-a217-347c849a80b7&quot;}}" style="position:absolute;left:0;text-align:left;margin-left:476.05pt;margin-top:0;width:527.25pt;height:26.95pt;z-index:-251666944;visibility:hidden;mso-wrap-style:square;mso-width-percent:0;mso-height-percent:0;mso-wrap-distance-left:9pt;mso-wrap-distance-top:0;mso-wrap-distance-right:9pt;mso-wrap-distance-bottom:0;mso-position-horizontal:righ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" filled="f" fillcolor="white [3201]" stroked="f" strokeweight=".5pt">
              <v:textbox style="mso-fit-shape-to-text:t" inset="0,0,0,0">
                <w:txbxContent>
                  <w:sdt>
                    <w:sdtPr>
                      <w:rPr>
                        <w:vanish/>
                      </w:rPr>
                      <w:alias w:val="Watermark"/>
                      <w:tag w:val="{&quot;templafy&quot;:{&quot;id&quot;:&quot;8c1b5d0e-2864-424d-87bf-d8b1468f6519&quot;}}"/>
                      <w:id w:val="-480319922"/>
                    </w:sdtPr>
                    <w:sdtEndPr/>
                    <w:sdtContent>
                      <w:p w14:paraId="7B97AD7B" w14:textId="11880504" w:rsidR="00C83C91" w:rsidRPr="00DC4F35" w:rsidRDefault="00C83C91">
                        <w:pPr>
                          <w:pStyle w:val="Vandmrke"/>
                          <w:rPr>
                            <w:vanish/>
                          </w:rPr>
                        </w:pPr>
                        <w:r w:rsidRPr="00DC4F35">
                          <w:rPr>
                            <w:vanish/>
                          </w:rPr>
                          <w:t>Ingen</w:t>
                        </w:r>
                      </w:p>
                    </w:sdtContent>
                  </w:sdt>
                </w:txbxContent>
              </v:textbox>
              <w10:wrap anchorx="margin"/>
            </v:shape>
          </w:pict>
        </mc:Fallback>
      </mc:AlternateContent>
    </w:r>
    <w:r w:rsidRPr="00DC4F35">
      <w:rPr>
        <w:noProof/>
        <w:lang w:eastAsia="da-DK"/>
      </w:rPr>
      <mc:AlternateContent>
        <mc:Choice Requires="wps">
          <w:drawing>
            <wp:anchor distT="0" distB="0" distL="114300" distR="114300" simplePos="0" relativeHeight="251650560" behindDoc="0" locked="1" layoutInCell="1" allowOverlap="1" wp14:anchorId="648A981B" wp14:editId="29FF79F4">
              <wp:simplePos x="0" y="0"/>
              <wp:positionH relativeFrom="rightMargin">
                <wp:posOffset>-1886585</wp:posOffset>
              </wp:positionH>
              <wp:positionV relativeFrom="page">
                <wp:align>top</wp:align>
              </wp:positionV>
              <wp:extent cx="219600" cy="1036800"/>
              <wp:effectExtent l="0" t="0" r="9525" b="0"/>
              <wp:wrapNone/>
              <wp:docPr id="9" name="Dividerline"/>
              <wp:cNvGraphicFramePr/>
              <a:graphic xmlns:a="http://schemas.openxmlformats.org/drawingml/2006/main">
                <a:graphicData uri="http://schemas.microsoft.com/office/word/2010/wordprocessingShape">
                  <wps:wsp>
                    <wps:cNvSpPr/>
                    <wps:spPr>
                      <a:xfrm>
                        <a:off x="0" y="0"/>
                        <a:ext cx="219600" cy="10368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33B04F" w14:textId="77777777" w:rsidR="00C83C91" w:rsidRDefault="00C83C91" w:rsidP="0036440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A981B" id="Dividerline" o:spid="_x0000_s1029" style="position:absolute;left:0;text-align:left;margin-left:-148.55pt;margin-top:0;width:17.3pt;height:81.65pt;z-index:251650560;visibility:visible;mso-wrap-style:square;mso-width-percent:0;mso-height-percent:0;mso-wrap-distance-left:9pt;mso-wrap-distance-top:0;mso-wrap-distance-right:9pt;mso-wrap-distance-bottom:0;mso-position-horizontal:absolute;mso-position-horizontal-relative:right-margin-area;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" fillcolor="white [3212]" stroked="f" strokeweight="2pt">
              <v:textbox>
                <w:txbxContent>
                  <w:p w14:paraId="1033B04F" w14:textId="77777777" w:rsidR="00C83C91" w:rsidRDefault="00C83C91" w:rsidP="0036440D">
                    <w:pPr>
                      <w:jc w:val="center"/>
                    </w:pPr>
                  </w:p>
                </w:txbxContent>
              </v:textbox>
              <w10:wrap anchorx="margin" anchory="page"/>
              <w10:anchorlock/>
            </v:rect>
          </w:pict>
        </mc:Fallback>
      </mc:AlternateContent>
    </w:r>
    <w:bookmarkEnd w:id="131"/>
    <w:bookmarkEnd w:id="13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F62A16"/>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E89EB67A"/>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B5603CC"/>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5008CA4E"/>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9FCE1BC8"/>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78751E"/>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4C79A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C0AD60"/>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006B3797"/>
    <w:multiLevelType w:val="multilevel"/>
    <w:tmpl w:val="AD4A6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089398D"/>
    <w:multiLevelType w:val="hybridMultilevel"/>
    <w:tmpl w:val="C7F2334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01D57B75"/>
    <w:multiLevelType w:val="multilevel"/>
    <w:tmpl w:val="0CD0CB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2941A15"/>
    <w:multiLevelType w:val="multilevel"/>
    <w:tmpl w:val="A19C663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054C5F69"/>
    <w:multiLevelType w:val="hybridMultilevel"/>
    <w:tmpl w:val="D4A67D5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0C5836BE"/>
    <w:multiLevelType w:val="hybridMultilevel"/>
    <w:tmpl w:val="47643F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C76868"/>
    <w:multiLevelType w:val="hybridMultilevel"/>
    <w:tmpl w:val="6D889D88"/>
    <w:lvl w:ilvl="0" w:tplc="04060011">
      <w:start w:val="1"/>
      <w:numFmt w:val="decimal"/>
      <w:lvlText w:val="%1)"/>
      <w:lvlJc w:val="left"/>
      <w:pPr>
        <w:ind w:left="720" w:hanging="360"/>
      </w:pPr>
    </w:lvl>
    <w:lvl w:ilvl="1" w:tplc="04060011">
      <w:start w:val="1"/>
      <w:numFmt w:val="decimal"/>
      <w:lvlText w:val="%2)"/>
      <w:lvlJc w:val="left"/>
      <w:pPr>
        <w:ind w:left="72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0D9D7E02"/>
    <w:multiLevelType w:val="multilevel"/>
    <w:tmpl w:val="2466EA48"/>
    <w:lvl w:ilvl="0">
      <w:start w:val="1"/>
      <w:numFmt w:val="decimal"/>
      <w:pStyle w:val="Overskrift1"/>
      <w:lvlText w:val="%1."/>
      <w:lvlJc w:val="left"/>
      <w:pPr>
        <w:ind w:left="992" w:hanging="992"/>
      </w:pPr>
      <w:rPr>
        <w:rFonts w:hint="default"/>
      </w:rPr>
    </w:lvl>
    <w:lvl w:ilvl="1">
      <w:start w:val="1"/>
      <w:numFmt w:val="decimal"/>
      <w:pStyle w:val="Overskrift2"/>
      <w:lvlText w:val="%1.%2"/>
      <w:lvlJc w:val="left"/>
      <w:pPr>
        <w:ind w:left="992" w:hanging="992"/>
      </w:pPr>
      <w:rPr>
        <w:rFonts w:hint="default"/>
      </w:rPr>
    </w:lvl>
    <w:lvl w:ilvl="2">
      <w:start w:val="1"/>
      <w:numFmt w:val="decimal"/>
      <w:pStyle w:val="Overskrift3"/>
      <w:lvlText w:val="%1.%2.%3"/>
      <w:lvlJc w:val="left"/>
      <w:pPr>
        <w:ind w:left="1418" w:hanging="992"/>
      </w:pPr>
      <w:rPr>
        <w:rFonts w:hint="default"/>
        <w:color w:val="auto"/>
      </w:rPr>
    </w:lvl>
    <w:lvl w:ilvl="3">
      <w:start w:val="1"/>
      <w:numFmt w:val="decimal"/>
      <w:pStyle w:val="Overskrift4"/>
      <w:lvlText w:val="%1.%2.%3.%4"/>
      <w:lvlJc w:val="left"/>
      <w:pPr>
        <w:ind w:left="992" w:hanging="992"/>
      </w:pPr>
      <w:rPr>
        <w:rFonts w:hint="default"/>
      </w:rPr>
    </w:lvl>
    <w:lvl w:ilvl="4">
      <w:start w:val="1"/>
      <w:numFmt w:val="none"/>
      <w:lvlRestart w:val="0"/>
      <w:lvlText w:val=""/>
      <w:lvlJc w:val="left"/>
      <w:pPr>
        <w:ind w:left="1701" w:hanging="709"/>
      </w:pPr>
      <w:rPr>
        <w:rFonts w:hint="default"/>
      </w:rPr>
    </w:lvl>
    <w:lvl w:ilvl="5">
      <w:start w:val="1"/>
      <w:numFmt w:val="none"/>
      <w:lvlRestart w:val="0"/>
      <w:lvlText w:val=""/>
      <w:lvlJc w:val="left"/>
      <w:pPr>
        <w:ind w:left="2410" w:hanging="709"/>
      </w:pPr>
      <w:rPr>
        <w:rFonts w:hint="default"/>
      </w:rPr>
    </w:lvl>
    <w:lvl w:ilvl="6">
      <w:start w:val="1"/>
      <w:numFmt w:val="none"/>
      <w:lvlRestart w:val="0"/>
      <w:lvlText w:val=""/>
      <w:lvlJc w:val="left"/>
      <w:pPr>
        <w:ind w:left="3119" w:hanging="709"/>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0E963610"/>
    <w:multiLevelType w:val="hybridMultilevel"/>
    <w:tmpl w:val="47643F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08639B"/>
    <w:multiLevelType w:val="hybridMultilevel"/>
    <w:tmpl w:val="89CE31D0"/>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15656C8C"/>
    <w:multiLevelType w:val="hybridMultilevel"/>
    <w:tmpl w:val="CF64C05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EF4EA9"/>
    <w:multiLevelType w:val="multilevel"/>
    <w:tmpl w:val="5BAE79CE"/>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19BB46A6"/>
    <w:multiLevelType w:val="multilevel"/>
    <w:tmpl w:val="34C4D1B8"/>
    <w:lvl w:ilvl="0">
      <w:start w:val="1"/>
      <w:numFmt w:val="decimal"/>
      <w:pStyle w:val="Indlg"/>
      <w:isLgl/>
      <w:lvlText w:val="%1."/>
      <w:lvlJc w:val="left"/>
      <w:pPr>
        <w:tabs>
          <w:tab w:val="num" w:pos="0"/>
        </w:tabs>
        <w:ind w:left="0" w:hanging="567"/>
      </w:pPr>
      <w:rPr>
        <w:rFonts w:hint="default"/>
        <w:sz w:val="20"/>
      </w:rPr>
    </w:lvl>
    <w:lvl w:ilvl="1">
      <w:start w:val="1"/>
      <w:numFmt w:val="none"/>
      <w:lvlRestart w:val="0"/>
      <w:pStyle w:val="Indlgafsnit"/>
      <w:lvlText w:val="%2"/>
      <w:lvlJc w:val="left"/>
      <w:pPr>
        <w:tabs>
          <w:tab w:val="num" w:pos="0"/>
        </w:tabs>
        <w:ind w:left="0" w:firstLine="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21" w15:restartNumberingAfterBreak="0">
    <w:nsid w:val="19E770E2"/>
    <w:multiLevelType w:val="hybridMultilevel"/>
    <w:tmpl w:val="B8D8B5CA"/>
    <w:lvl w:ilvl="0" w:tplc="E7C40F00">
      <w:start w:val="1"/>
      <w:numFmt w:val="lowerRoman"/>
      <w:lvlText w:val="(%1.)"/>
      <w:lvlJc w:val="left"/>
      <w:pPr>
        <w:ind w:left="1080" w:hanging="72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1B2E70F5"/>
    <w:multiLevelType w:val="hybridMultilevel"/>
    <w:tmpl w:val="47643F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0A87ACD"/>
    <w:multiLevelType w:val="hybridMultilevel"/>
    <w:tmpl w:val="C9E04C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B11F7A"/>
    <w:multiLevelType w:val="multilevel"/>
    <w:tmpl w:val="6F86C138"/>
    <w:lvl w:ilvl="0">
      <w:start w:val="1"/>
      <w:numFmt w:val="bullet"/>
      <w:pStyle w:val="Punktopstilling"/>
      <w:lvlText w:val=""/>
      <w:lvlJc w:val="left"/>
      <w:pPr>
        <w:tabs>
          <w:tab w:val="num" w:pos="964"/>
        </w:tabs>
        <w:ind w:left="1304" w:hanging="340"/>
      </w:pPr>
      <w:rPr>
        <w:rFonts w:ascii="Symbol" w:hAnsi="Symbol" w:hint="default"/>
      </w:rPr>
    </w:lvl>
    <w:lvl w:ilvl="1">
      <w:start w:val="1"/>
      <w:numFmt w:val="bullet"/>
      <w:lvlText w:val="o"/>
      <w:lvlJc w:val="left"/>
      <w:pPr>
        <w:tabs>
          <w:tab w:val="num" w:pos="1304"/>
        </w:tabs>
        <w:ind w:left="1644" w:hanging="340"/>
      </w:pPr>
      <w:rPr>
        <w:rFonts w:ascii="Courier New" w:hAnsi="Courier New" w:cs="Courier New" w:hint="default"/>
      </w:rPr>
    </w:lvl>
    <w:lvl w:ilvl="2">
      <w:start w:val="1"/>
      <w:numFmt w:val="bullet"/>
      <w:lvlText w:val=""/>
      <w:lvlJc w:val="left"/>
      <w:pPr>
        <w:tabs>
          <w:tab w:val="num" w:pos="1644"/>
        </w:tabs>
        <w:ind w:left="1984" w:hanging="340"/>
      </w:pPr>
      <w:rPr>
        <w:rFonts w:ascii="Wingdings" w:hAnsi="Wingdings" w:hint="default"/>
      </w:rPr>
    </w:lvl>
    <w:lvl w:ilvl="3">
      <w:start w:val="1"/>
      <w:numFmt w:val="bullet"/>
      <w:lvlText w:val=""/>
      <w:lvlJc w:val="left"/>
      <w:pPr>
        <w:tabs>
          <w:tab w:val="num" w:pos="1984"/>
        </w:tabs>
        <w:ind w:left="2324" w:hanging="340"/>
      </w:pPr>
      <w:rPr>
        <w:rFonts w:ascii="Symbol" w:hAnsi="Symbol" w:hint="default"/>
      </w:rPr>
    </w:lvl>
    <w:lvl w:ilvl="4">
      <w:start w:val="1"/>
      <w:numFmt w:val="bullet"/>
      <w:lvlText w:val="o"/>
      <w:lvlJc w:val="left"/>
      <w:pPr>
        <w:tabs>
          <w:tab w:val="num" w:pos="2324"/>
        </w:tabs>
        <w:ind w:left="2664" w:hanging="340"/>
      </w:pPr>
      <w:rPr>
        <w:rFonts w:ascii="Courier New" w:hAnsi="Courier New" w:cs="Courier New" w:hint="default"/>
      </w:rPr>
    </w:lvl>
    <w:lvl w:ilvl="5">
      <w:start w:val="1"/>
      <w:numFmt w:val="bullet"/>
      <w:lvlText w:val=""/>
      <w:lvlJc w:val="left"/>
      <w:pPr>
        <w:tabs>
          <w:tab w:val="num" w:pos="2664"/>
        </w:tabs>
        <w:ind w:left="3004" w:hanging="340"/>
      </w:pPr>
      <w:rPr>
        <w:rFonts w:ascii="Wingdings" w:hAnsi="Wingdings" w:hint="default"/>
      </w:rPr>
    </w:lvl>
    <w:lvl w:ilvl="6">
      <w:start w:val="1"/>
      <w:numFmt w:val="bullet"/>
      <w:lvlText w:val=""/>
      <w:lvlJc w:val="left"/>
      <w:pPr>
        <w:tabs>
          <w:tab w:val="num" w:pos="3004"/>
        </w:tabs>
        <w:ind w:left="3344" w:hanging="340"/>
      </w:pPr>
      <w:rPr>
        <w:rFonts w:ascii="Symbol" w:hAnsi="Symbol" w:hint="default"/>
      </w:rPr>
    </w:lvl>
    <w:lvl w:ilvl="7">
      <w:start w:val="1"/>
      <w:numFmt w:val="bullet"/>
      <w:lvlText w:val="o"/>
      <w:lvlJc w:val="left"/>
      <w:pPr>
        <w:tabs>
          <w:tab w:val="num" w:pos="3344"/>
        </w:tabs>
        <w:ind w:left="3684" w:hanging="340"/>
      </w:pPr>
      <w:rPr>
        <w:rFonts w:ascii="Courier New" w:hAnsi="Courier New" w:cs="Courier New" w:hint="default"/>
      </w:rPr>
    </w:lvl>
    <w:lvl w:ilvl="8">
      <w:start w:val="1"/>
      <w:numFmt w:val="bullet"/>
      <w:lvlText w:val=""/>
      <w:lvlJc w:val="left"/>
      <w:pPr>
        <w:tabs>
          <w:tab w:val="num" w:pos="3684"/>
        </w:tabs>
        <w:ind w:left="4024" w:hanging="340"/>
      </w:pPr>
      <w:rPr>
        <w:rFonts w:ascii="Wingdings" w:hAnsi="Wingdings" w:hint="default"/>
      </w:rPr>
    </w:lvl>
  </w:abstractNum>
  <w:abstractNum w:abstractNumId="25" w15:restartNumberingAfterBreak="0">
    <w:nsid w:val="25112E01"/>
    <w:multiLevelType w:val="hybridMultilevel"/>
    <w:tmpl w:val="BBC4EB46"/>
    <w:lvl w:ilvl="0" w:tplc="8CDC472C">
      <w:start w:val="23"/>
      <w:numFmt w:val="bullet"/>
      <w:lvlText w:val="-"/>
      <w:lvlJc w:val="left"/>
      <w:pPr>
        <w:ind w:left="720" w:hanging="360"/>
      </w:pPr>
      <w:rPr>
        <w:rFonts w:ascii="Century Schoolbook" w:eastAsiaTheme="minorHAnsi" w:hAnsi="Century Schoolbook" w:cs="Verdana"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26856740"/>
    <w:multiLevelType w:val="hybridMultilevel"/>
    <w:tmpl w:val="CF64C05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8575914"/>
    <w:multiLevelType w:val="multilevel"/>
    <w:tmpl w:val="9028C048"/>
    <w:lvl w:ilvl="0">
      <w:start w:val="1"/>
      <w:numFmt w:val="bullet"/>
      <w:pStyle w:val="Opstilling-punkttegn"/>
      <w:lvlText w:val="•"/>
      <w:lvlJc w:val="left"/>
      <w:pPr>
        <w:ind w:left="454" w:hanging="454"/>
      </w:pPr>
      <w:rPr>
        <w:rFonts w:ascii="Century" w:hAnsi="Century" w:hint="default"/>
      </w:rPr>
    </w:lvl>
    <w:lvl w:ilvl="1">
      <w:start w:val="1"/>
      <w:numFmt w:val="bullet"/>
      <w:lvlText w:val="•"/>
      <w:lvlJc w:val="left"/>
      <w:pPr>
        <w:ind w:left="908" w:hanging="454"/>
      </w:pPr>
      <w:rPr>
        <w:rFonts w:ascii="Century" w:hAnsi="Century" w:hint="default"/>
      </w:rPr>
    </w:lvl>
    <w:lvl w:ilvl="2">
      <w:start w:val="1"/>
      <w:numFmt w:val="bullet"/>
      <w:lvlText w:val="•"/>
      <w:lvlJc w:val="left"/>
      <w:pPr>
        <w:ind w:left="1362" w:hanging="454"/>
      </w:pPr>
      <w:rPr>
        <w:rFonts w:ascii="Century" w:hAnsi="Century" w:hint="default"/>
      </w:rPr>
    </w:lvl>
    <w:lvl w:ilvl="3">
      <w:start w:val="1"/>
      <w:numFmt w:val="bullet"/>
      <w:lvlText w:val="•"/>
      <w:lvlJc w:val="left"/>
      <w:pPr>
        <w:ind w:left="1816" w:hanging="454"/>
      </w:pPr>
      <w:rPr>
        <w:rFonts w:ascii="Century" w:hAnsi="Century" w:hint="default"/>
      </w:rPr>
    </w:lvl>
    <w:lvl w:ilvl="4">
      <w:start w:val="1"/>
      <w:numFmt w:val="bullet"/>
      <w:lvlText w:val="•"/>
      <w:lvlJc w:val="left"/>
      <w:pPr>
        <w:ind w:left="2270" w:hanging="454"/>
      </w:pPr>
      <w:rPr>
        <w:rFonts w:ascii="Century" w:hAnsi="Century" w:hint="default"/>
      </w:rPr>
    </w:lvl>
    <w:lvl w:ilvl="5">
      <w:start w:val="1"/>
      <w:numFmt w:val="bullet"/>
      <w:lvlText w:val="•"/>
      <w:lvlJc w:val="left"/>
      <w:pPr>
        <w:ind w:left="2724" w:hanging="454"/>
      </w:pPr>
      <w:rPr>
        <w:rFonts w:ascii="Century" w:hAnsi="Century" w:hint="default"/>
      </w:rPr>
    </w:lvl>
    <w:lvl w:ilvl="6">
      <w:start w:val="1"/>
      <w:numFmt w:val="bullet"/>
      <w:lvlText w:val="•"/>
      <w:lvlJc w:val="left"/>
      <w:pPr>
        <w:ind w:left="3178" w:hanging="454"/>
      </w:pPr>
      <w:rPr>
        <w:rFonts w:ascii="Century" w:hAnsi="Century" w:hint="default"/>
      </w:rPr>
    </w:lvl>
    <w:lvl w:ilvl="7">
      <w:start w:val="1"/>
      <w:numFmt w:val="bullet"/>
      <w:lvlText w:val="•"/>
      <w:lvlJc w:val="left"/>
      <w:pPr>
        <w:ind w:left="3632" w:hanging="454"/>
      </w:pPr>
      <w:rPr>
        <w:rFonts w:ascii="Century" w:hAnsi="Century" w:hint="default"/>
      </w:rPr>
    </w:lvl>
    <w:lvl w:ilvl="8">
      <w:start w:val="1"/>
      <w:numFmt w:val="bullet"/>
      <w:lvlText w:val="•"/>
      <w:lvlJc w:val="left"/>
      <w:pPr>
        <w:ind w:left="4086" w:hanging="454"/>
      </w:pPr>
      <w:rPr>
        <w:rFonts w:ascii="Century" w:hAnsi="Century" w:hint="default"/>
      </w:rPr>
    </w:lvl>
  </w:abstractNum>
  <w:abstractNum w:abstractNumId="28" w15:restartNumberingAfterBreak="0">
    <w:nsid w:val="29E736FB"/>
    <w:multiLevelType w:val="multilevel"/>
    <w:tmpl w:val="142C2F76"/>
    <w:styleLink w:val="PunktfsnitNumbering"/>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lowerLetter"/>
      <w:lvlRestart w:val="0"/>
      <w:lvlText w:val="(%5)"/>
      <w:lvlJc w:val="left"/>
      <w:pPr>
        <w:tabs>
          <w:tab w:val="num" w:pos="1701"/>
        </w:tabs>
        <w:ind w:left="1701" w:hanging="709"/>
      </w:pPr>
      <w:rPr>
        <w:rFonts w:hint="default"/>
      </w:rPr>
    </w:lvl>
    <w:lvl w:ilvl="5">
      <w:start w:val="1"/>
      <w:numFmt w:val="lowerRoman"/>
      <w:lvlRestart w:val="0"/>
      <w:lvlText w:val="(%6)"/>
      <w:lvlJc w:val="left"/>
      <w:pPr>
        <w:tabs>
          <w:tab w:val="num" w:pos="2410"/>
        </w:tabs>
        <w:ind w:left="2410" w:hanging="709"/>
      </w:pPr>
      <w:rPr>
        <w:rFonts w:hint="default"/>
      </w:rPr>
    </w:lvl>
    <w:lvl w:ilvl="6">
      <w:start w:val="1"/>
      <w:numFmt w:val="upperLetter"/>
      <w:lvlRestart w:val="0"/>
      <w:lvlText w:val="(%7)"/>
      <w:lvlJc w:val="left"/>
      <w:pPr>
        <w:tabs>
          <w:tab w:val="num" w:pos="3119"/>
        </w:tabs>
        <w:ind w:left="3119" w:hanging="709"/>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2DFE1A15"/>
    <w:multiLevelType w:val="hybridMultilevel"/>
    <w:tmpl w:val="B45E2682"/>
    <w:lvl w:ilvl="0" w:tplc="FBF200AA">
      <w:start w:val="2"/>
      <w:numFmt w:val="bullet"/>
      <w:lvlText w:val="-"/>
      <w:lvlJc w:val="left"/>
      <w:pPr>
        <w:ind w:left="720" w:hanging="360"/>
      </w:pPr>
      <w:rPr>
        <w:rFonts w:ascii="Calibri" w:eastAsiaTheme="minorHAnsi" w:hAnsi="Calibri"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302C3CF4"/>
    <w:multiLevelType w:val="hybridMultilevel"/>
    <w:tmpl w:val="26725ACE"/>
    <w:lvl w:ilvl="0" w:tplc="FBF200AA">
      <w:start w:val="2"/>
      <w:numFmt w:val="bullet"/>
      <w:lvlText w:val="-"/>
      <w:lvlJc w:val="left"/>
      <w:pPr>
        <w:ind w:left="720" w:hanging="360"/>
      </w:pPr>
      <w:rPr>
        <w:rFonts w:ascii="Calibri" w:eastAsiaTheme="minorHAnsi" w:hAnsi="Calibri"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35E64DC"/>
    <w:multiLevelType w:val="multilevel"/>
    <w:tmpl w:val="B4444A80"/>
    <w:lvl w:ilvl="0">
      <w:start w:val="1"/>
      <w:numFmt w:val="decimal"/>
      <w:pStyle w:val="Parter"/>
      <w:lvlText w:val="(%1)"/>
      <w:lvlJc w:val="left"/>
      <w:pPr>
        <w:ind w:left="992" w:hanging="99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43D36C6"/>
    <w:multiLevelType w:val="hybridMultilevel"/>
    <w:tmpl w:val="89480B3C"/>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3B794012"/>
    <w:multiLevelType w:val="hybridMultilevel"/>
    <w:tmpl w:val="7DACCA18"/>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3D9C3C4B"/>
    <w:multiLevelType w:val="multilevel"/>
    <w:tmpl w:val="4832F81A"/>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3E0C1EF0"/>
    <w:multiLevelType w:val="hybridMultilevel"/>
    <w:tmpl w:val="249E0490"/>
    <w:lvl w:ilvl="0" w:tplc="79F6449E">
      <w:start w:val="1"/>
      <w:numFmt w:val="decimal"/>
      <w:lvlText w:val="%1)"/>
      <w:lvlJc w:val="left"/>
      <w:pPr>
        <w:ind w:left="1020" w:hanging="360"/>
      </w:pPr>
    </w:lvl>
    <w:lvl w:ilvl="1" w:tplc="F55A15E0">
      <w:start w:val="1"/>
      <w:numFmt w:val="decimal"/>
      <w:lvlText w:val="%2)"/>
      <w:lvlJc w:val="left"/>
      <w:pPr>
        <w:ind w:left="1020" w:hanging="360"/>
      </w:pPr>
    </w:lvl>
    <w:lvl w:ilvl="2" w:tplc="AD8083CE">
      <w:start w:val="1"/>
      <w:numFmt w:val="decimal"/>
      <w:lvlText w:val="%3)"/>
      <w:lvlJc w:val="left"/>
      <w:pPr>
        <w:ind w:left="1020" w:hanging="360"/>
      </w:pPr>
    </w:lvl>
    <w:lvl w:ilvl="3" w:tplc="14A6878A">
      <w:start w:val="1"/>
      <w:numFmt w:val="decimal"/>
      <w:lvlText w:val="%4)"/>
      <w:lvlJc w:val="left"/>
      <w:pPr>
        <w:ind w:left="1020" w:hanging="360"/>
      </w:pPr>
    </w:lvl>
    <w:lvl w:ilvl="4" w:tplc="5570353C">
      <w:start w:val="1"/>
      <w:numFmt w:val="decimal"/>
      <w:lvlText w:val="%5)"/>
      <w:lvlJc w:val="left"/>
      <w:pPr>
        <w:ind w:left="1020" w:hanging="360"/>
      </w:pPr>
    </w:lvl>
    <w:lvl w:ilvl="5" w:tplc="85C664B2">
      <w:start w:val="1"/>
      <w:numFmt w:val="decimal"/>
      <w:lvlText w:val="%6)"/>
      <w:lvlJc w:val="left"/>
      <w:pPr>
        <w:ind w:left="1020" w:hanging="360"/>
      </w:pPr>
    </w:lvl>
    <w:lvl w:ilvl="6" w:tplc="8AD218DE">
      <w:start w:val="1"/>
      <w:numFmt w:val="decimal"/>
      <w:lvlText w:val="%7)"/>
      <w:lvlJc w:val="left"/>
      <w:pPr>
        <w:ind w:left="1020" w:hanging="360"/>
      </w:pPr>
    </w:lvl>
    <w:lvl w:ilvl="7" w:tplc="59046358">
      <w:start w:val="1"/>
      <w:numFmt w:val="decimal"/>
      <w:lvlText w:val="%8)"/>
      <w:lvlJc w:val="left"/>
      <w:pPr>
        <w:ind w:left="1020" w:hanging="360"/>
      </w:pPr>
    </w:lvl>
    <w:lvl w:ilvl="8" w:tplc="855ED750">
      <w:start w:val="1"/>
      <w:numFmt w:val="decimal"/>
      <w:lvlText w:val="%9)"/>
      <w:lvlJc w:val="left"/>
      <w:pPr>
        <w:ind w:left="1020" w:hanging="360"/>
      </w:pPr>
    </w:lvl>
  </w:abstractNum>
  <w:abstractNum w:abstractNumId="36" w15:restartNumberingAfterBreak="0">
    <w:nsid w:val="40F65E3F"/>
    <w:multiLevelType w:val="hybridMultilevel"/>
    <w:tmpl w:val="781089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3DE5229"/>
    <w:multiLevelType w:val="hybridMultilevel"/>
    <w:tmpl w:val="48541FA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4624043C"/>
    <w:multiLevelType w:val="hybridMultilevel"/>
    <w:tmpl w:val="47643F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6E20B4A"/>
    <w:multiLevelType w:val="hybridMultilevel"/>
    <w:tmpl w:val="8384023C"/>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47E90B38"/>
    <w:multiLevelType w:val="hybridMultilevel"/>
    <w:tmpl w:val="267E1AA4"/>
    <w:lvl w:ilvl="0" w:tplc="04060019">
      <w:start w:val="1"/>
      <w:numFmt w:val="lowerLetter"/>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48F76625"/>
    <w:multiLevelType w:val="hybridMultilevel"/>
    <w:tmpl w:val="708C0748"/>
    <w:lvl w:ilvl="0" w:tplc="FBF200AA">
      <w:start w:val="2"/>
      <w:numFmt w:val="bullet"/>
      <w:lvlText w:val="-"/>
      <w:lvlJc w:val="left"/>
      <w:pPr>
        <w:ind w:left="720" w:hanging="360"/>
      </w:pPr>
      <w:rPr>
        <w:rFonts w:ascii="Calibri" w:eastAsiaTheme="minorHAnsi" w:hAnsi="Calibri" w:cstheme="minorBidi" w:hint="default"/>
      </w:rPr>
    </w:lvl>
    <w:lvl w:ilvl="1" w:tplc="FFFFFFFF">
      <w:start w:val="4"/>
      <w:numFmt w:val="bullet"/>
      <w:lvlText w:val="•"/>
      <w:lvlJc w:val="left"/>
      <w:pPr>
        <w:ind w:left="2385" w:hanging="1305"/>
      </w:pPr>
      <w:rPr>
        <w:rFonts w:ascii="Century Schoolbook" w:eastAsiaTheme="minorHAnsi" w:hAnsi="Century Schoolbook" w:cs="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F390206"/>
    <w:multiLevelType w:val="hybridMultilevel"/>
    <w:tmpl w:val="ECDA1340"/>
    <w:lvl w:ilvl="0" w:tplc="E1D06E68">
      <w:start w:val="1"/>
      <w:numFmt w:val="decimal"/>
      <w:lvlText w:val="%1)"/>
      <w:lvlJc w:val="left"/>
      <w:pPr>
        <w:ind w:left="1213" w:hanging="360"/>
      </w:pPr>
      <w:rPr>
        <w:rFonts w:hint="default"/>
      </w:rPr>
    </w:lvl>
    <w:lvl w:ilvl="1" w:tplc="04060019" w:tentative="1">
      <w:start w:val="1"/>
      <w:numFmt w:val="lowerLetter"/>
      <w:lvlText w:val="%2."/>
      <w:lvlJc w:val="left"/>
      <w:pPr>
        <w:ind w:left="1933" w:hanging="360"/>
      </w:pPr>
    </w:lvl>
    <w:lvl w:ilvl="2" w:tplc="0406001B" w:tentative="1">
      <w:start w:val="1"/>
      <w:numFmt w:val="lowerRoman"/>
      <w:lvlText w:val="%3."/>
      <w:lvlJc w:val="right"/>
      <w:pPr>
        <w:ind w:left="2653" w:hanging="180"/>
      </w:pPr>
    </w:lvl>
    <w:lvl w:ilvl="3" w:tplc="0406000F" w:tentative="1">
      <w:start w:val="1"/>
      <w:numFmt w:val="decimal"/>
      <w:lvlText w:val="%4."/>
      <w:lvlJc w:val="left"/>
      <w:pPr>
        <w:ind w:left="3373" w:hanging="360"/>
      </w:pPr>
    </w:lvl>
    <w:lvl w:ilvl="4" w:tplc="04060019" w:tentative="1">
      <w:start w:val="1"/>
      <w:numFmt w:val="lowerLetter"/>
      <w:lvlText w:val="%5."/>
      <w:lvlJc w:val="left"/>
      <w:pPr>
        <w:ind w:left="4093" w:hanging="360"/>
      </w:pPr>
    </w:lvl>
    <w:lvl w:ilvl="5" w:tplc="0406001B" w:tentative="1">
      <w:start w:val="1"/>
      <w:numFmt w:val="lowerRoman"/>
      <w:lvlText w:val="%6."/>
      <w:lvlJc w:val="right"/>
      <w:pPr>
        <w:ind w:left="4813" w:hanging="180"/>
      </w:pPr>
    </w:lvl>
    <w:lvl w:ilvl="6" w:tplc="0406000F" w:tentative="1">
      <w:start w:val="1"/>
      <w:numFmt w:val="decimal"/>
      <w:lvlText w:val="%7."/>
      <w:lvlJc w:val="left"/>
      <w:pPr>
        <w:ind w:left="5533" w:hanging="360"/>
      </w:pPr>
    </w:lvl>
    <w:lvl w:ilvl="7" w:tplc="04060019" w:tentative="1">
      <w:start w:val="1"/>
      <w:numFmt w:val="lowerLetter"/>
      <w:lvlText w:val="%8."/>
      <w:lvlJc w:val="left"/>
      <w:pPr>
        <w:ind w:left="6253" w:hanging="360"/>
      </w:pPr>
    </w:lvl>
    <w:lvl w:ilvl="8" w:tplc="0406001B" w:tentative="1">
      <w:start w:val="1"/>
      <w:numFmt w:val="lowerRoman"/>
      <w:lvlText w:val="%9."/>
      <w:lvlJc w:val="right"/>
      <w:pPr>
        <w:ind w:left="6973" w:hanging="180"/>
      </w:pPr>
    </w:lvl>
  </w:abstractNum>
  <w:abstractNum w:abstractNumId="43" w15:restartNumberingAfterBreak="0">
    <w:nsid w:val="4FCF112A"/>
    <w:multiLevelType w:val="multilevel"/>
    <w:tmpl w:val="742679B0"/>
    <w:lvl w:ilvl="0">
      <w:start w:val="1"/>
      <w:numFmt w:val="decimal"/>
      <w:lvlText w:val="%1)"/>
      <w:lvlJc w:val="left"/>
      <w:pPr>
        <w:tabs>
          <w:tab w:val="num" w:pos="964"/>
        </w:tabs>
        <w:ind w:left="1304" w:hanging="340"/>
      </w:pPr>
      <w:rPr>
        <w:rFonts w:hint="default"/>
      </w:rPr>
    </w:lvl>
    <w:lvl w:ilvl="1">
      <w:start w:val="1"/>
      <w:numFmt w:val="bullet"/>
      <w:lvlText w:val="o"/>
      <w:lvlJc w:val="left"/>
      <w:pPr>
        <w:tabs>
          <w:tab w:val="num" w:pos="1304"/>
        </w:tabs>
        <w:ind w:left="1644" w:hanging="340"/>
      </w:pPr>
      <w:rPr>
        <w:rFonts w:ascii="Courier New" w:hAnsi="Courier New" w:cs="Courier New" w:hint="default"/>
      </w:rPr>
    </w:lvl>
    <w:lvl w:ilvl="2">
      <w:start w:val="1"/>
      <w:numFmt w:val="bullet"/>
      <w:lvlText w:val=""/>
      <w:lvlJc w:val="left"/>
      <w:pPr>
        <w:tabs>
          <w:tab w:val="num" w:pos="1644"/>
        </w:tabs>
        <w:ind w:left="1984" w:hanging="340"/>
      </w:pPr>
      <w:rPr>
        <w:rFonts w:ascii="Wingdings" w:hAnsi="Wingdings" w:hint="default"/>
      </w:rPr>
    </w:lvl>
    <w:lvl w:ilvl="3">
      <w:start w:val="1"/>
      <w:numFmt w:val="bullet"/>
      <w:lvlText w:val=""/>
      <w:lvlJc w:val="left"/>
      <w:pPr>
        <w:tabs>
          <w:tab w:val="num" w:pos="1984"/>
        </w:tabs>
        <w:ind w:left="2324" w:hanging="340"/>
      </w:pPr>
      <w:rPr>
        <w:rFonts w:ascii="Symbol" w:hAnsi="Symbol" w:hint="default"/>
      </w:rPr>
    </w:lvl>
    <w:lvl w:ilvl="4">
      <w:start w:val="1"/>
      <w:numFmt w:val="bullet"/>
      <w:lvlText w:val="o"/>
      <w:lvlJc w:val="left"/>
      <w:pPr>
        <w:tabs>
          <w:tab w:val="num" w:pos="2324"/>
        </w:tabs>
        <w:ind w:left="2664" w:hanging="340"/>
      </w:pPr>
      <w:rPr>
        <w:rFonts w:ascii="Courier New" w:hAnsi="Courier New" w:cs="Courier New" w:hint="default"/>
      </w:rPr>
    </w:lvl>
    <w:lvl w:ilvl="5">
      <w:start w:val="1"/>
      <w:numFmt w:val="bullet"/>
      <w:lvlText w:val=""/>
      <w:lvlJc w:val="left"/>
      <w:pPr>
        <w:tabs>
          <w:tab w:val="num" w:pos="2664"/>
        </w:tabs>
        <w:ind w:left="3004" w:hanging="340"/>
      </w:pPr>
      <w:rPr>
        <w:rFonts w:ascii="Wingdings" w:hAnsi="Wingdings" w:hint="default"/>
      </w:rPr>
    </w:lvl>
    <w:lvl w:ilvl="6">
      <w:start w:val="1"/>
      <w:numFmt w:val="bullet"/>
      <w:lvlText w:val=""/>
      <w:lvlJc w:val="left"/>
      <w:pPr>
        <w:tabs>
          <w:tab w:val="num" w:pos="3004"/>
        </w:tabs>
        <w:ind w:left="3344" w:hanging="340"/>
      </w:pPr>
      <w:rPr>
        <w:rFonts w:ascii="Symbol" w:hAnsi="Symbol" w:hint="default"/>
      </w:rPr>
    </w:lvl>
    <w:lvl w:ilvl="7">
      <w:start w:val="1"/>
      <w:numFmt w:val="bullet"/>
      <w:lvlText w:val="o"/>
      <w:lvlJc w:val="left"/>
      <w:pPr>
        <w:tabs>
          <w:tab w:val="num" w:pos="3344"/>
        </w:tabs>
        <w:ind w:left="3684" w:hanging="340"/>
      </w:pPr>
      <w:rPr>
        <w:rFonts w:ascii="Courier New" w:hAnsi="Courier New" w:cs="Courier New" w:hint="default"/>
      </w:rPr>
    </w:lvl>
    <w:lvl w:ilvl="8">
      <w:start w:val="1"/>
      <w:numFmt w:val="bullet"/>
      <w:lvlText w:val=""/>
      <w:lvlJc w:val="left"/>
      <w:pPr>
        <w:tabs>
          <w:tab w:val="num" w:pos="3684"/>
        </w:tabs>
        <w:ind w:left="4024" w:hanging="340"/>
      </w:pPr>
      <w:rPr>
        <w:rFonts w:ascii="Wingdings" w:hAnsi="Wingdings" w:hint="default"/>
      </w:rPr>
    </w:lvl>
  </w:abstractNum>
  <w:abstractNum w:abstractNumId="44" w15:restartNumberingAfterBreak="0">
    <w:nsid w:val="5062142D"/>
    <w:multiLevelType w:val="hybridMultilevel"/>
    <w:tmpl w:val="4FD40E9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50F460E7"/>
    <w:multiLevelType w:val="hybridMultilevel"/>
    <w:tmpl w:val="990604B4"/>
    <w:lvl w:ilvl="0" w:tplc="04060001">
      <w:start w:val="1"/>
      <w:numFmt w:val="bullet"/>
      <w:lvlText w:val=""/>
      <w:lvlJc w:val="left"/>
      <w:pPr>
        <w:ind w:left="2024" w:hanging="360"/>
      </w:pPr>
      <w:rPr>
        <w:rFonts w:ascii="Symbol" w:hAnsi="Symbol" w:hint="default"/>
      </w:rPr>
    </w:lvl>
    <w:lvl w:ilvl="1" w:tplc="04060003" w:tentative="1">
      <w:start w:val="1"/>
      <w:numFmt w:val="bullet"/>
      <w:lvlText w:val="o"/>
      <w:lvlJc w:val="left"/>
      <w:pPr>
        <w:ind w:left="2744" w:hanging="360"/>
      </w:pPr>
      <w:rPr>
        <w:rFonts w:ascii="Courier New" w:hAnsi="Courier New" w:cs="Courier New"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cs="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cs="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46" w15:restartNumberingAfterBreak="0">
    <w:nsid w:val="51167C38"/>
    <w:multiLevelType w:val="hybridMultilevel"/>
    <w:tmpl w:val="A5122A36"/>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15:restartNumberingAfterBreak="0">
    <w:nsid w:val="51806194"/>
    <w:multiLevelType w:val="hybridMultilevel"/>
    <w:tmpl w:val="CF64C050"/>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4FE5971"/>
    <w:multiLevelType w:val="multilevel"/>
    <w:tmpl w:val="2D5A4596"/>
    <w:lvl w:ilvl="0">
      <w:start w:val="1"/>
      <w:numFmt w:val="lowerLetter"/>
      <w:pStyle w:val="Punktafsnita"/>
      <w:lvlText w:val="(%1)"/>
      <w:lvlJc w:val="left"/>
      <w:pPr>
        <w:ind w:left="1701" w:hanging="709"/>
      </w:pPr>
      <w:rPr>
        <w:rFonts w:hint="default"/>
      </w:rPr>
    </w:lvl>
    <w:lvl w:ilvl="1">
      <w:start w:val="1"/>
      <w:numFmt w:val="lowerRoman"/>
      <w:pStyle w:val="Punktafsniti"/>
      <w:lvlText w:val="(%2)"/>
      <w:lvlJc w:val="left"/>
      <w:pPr>
        <w:ind w:left="2410" w:hanging="709"/>
      </w:pPr>
      <w:rPr>
        <w:rFonts w:hint="default"/>
      </w:rPr>
    </w:lvl>
    <w:lvl w:ilvl="2">
      <w:start w:val="1"/>
      <w:numFmt w:val="upperLetter"/>
      <w:pStyle w:val="PunktafsnitA0"/>
      <w:lvlText w:val="(%3)"/>
      <w:lvlJc w:val="left"/>
      <w:pPr>
        <w:ind w:left="3119" w:hanging="709"/>
      </w:pPr>
      <w:rPr>
        <w:rFonts w:hint="default"/>
      </w:rPr>
    </w:lvl>
    <w:lvl w:ilvl="3">
      <w:start w:val="1"/>
      <w:numFmt w:val="decimal"/>
      <w:lvlText w:val="(%4)"/>
      <w:lvlJc w:val="left"/>
      <w:pPr>
        <w:ind w:left="3828" w:hanging="709"/>
      </w:pPr>
      <w:rPr>
        <w:rFonts w:hint="default"/>
      </w:rPr>
    </w:lvl>
    <w:lvl w:ilvl="4">
      <w:start w:val="1"/>
      <w:numFmt w:val="lowerLetter"/>
      <w:lvlText w:val="(%5)"/>
      <w:lvlJc w:val="left"/>
      <w:pPr>
        <w:tabs>
          <w:tab w:val="num" w:pos="3828"/>
        </w:tabs>
        <w:ind w:left="4537" w:hanging="709"/>
      </w:pPr>
      <w:rPr>
        <w:rFonts w:hint="default"/>
      </w:rPr>
    </w:lvl>
    <w:lvl w:ilvl="5">
      <w:start w:val="1"/>
      <w:numFmt w:val="lowerRoman"/>
      <w:lvlText w:val="(%6)"/>
      <w:lvlJc w:val="left"/>
      <w:pPr>
        <w:ind w:left="5246" w:hanging="709"/>
      </w:pPr>
      <w:rPr>
        <w:rFonts w:hint="default"/>
      </w:rPr>
    </w:lvl>
    <w:lvl w:ilvl="6">
      <w:start w:val="1"/>
      <w:numFmt w:val="decimal"/>
      <w:lvlText w:val="%7."/>
      <w:lvlJc w:val="left"/>
      <w:pPr>
        <w:tabs>
          <w:tab w:val="num" w:pos="5246"/>
        </w:tabs>
        <w:ind w:left="5955" w:hanging="709"/>
      </w:pPr>
      <w:rPr>
        <w:rFonts w:hint="default"/>
      </w:rPr>
    </w:lvl>
    <w:lvl w:ilvl="7">
      <w:start w:val="1"/>
      <w:numFmt w:val="lowerLetter"/>
      <w:lvlText w:val="%8."/>
      <w:lvlJc w:val="left"/>
      <w:pPr>
        <w:tabs>
          <w:tab w:val="num" w:pos="5955"/>
        </w:tabs>
        <w:ind w:left="6664" w:hanging="709"/>
      </w:pPr>
      <w:rPr>
        <w:rFonts w:hint="default"/>
      </w:rPr>
    </w:lvl>
    <w:lvl w:ilvl="8">
      <w:start w:val="1"/>
      <w:numFmt w:val="lowerRoman"/>
      <w:lvlText w:val="%9."/>
      <w:lvlJc w:val="left"/>
      <w:pPr>
        <w:ind w:left="7373" w:hanging="709"/>
      </w:pPr>
      <w:rPr>
        <w:rFonts w:hint="default"/>
      </w:rPr>
    </w:lvl>
  </w:abstractNum>
  <w:abstractNum w:abstractNumId="49" w15:restartNumberingAfterBreak="0">
    <w:nsid w:val="5B9F3077"/>
    <w:multiLevelType w:val="hybridMultilevel"/>
    <w:tmpl w:val="20C82288"/>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15:restartNumberingAfterBreak="0">
    <w:nsid w:val="5BDB2A9E"/>
    <w:multiLevelType w:val="hybridMultilevel"/>
    <w:tmpl w:val="6AD034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5C0D2A66"/>
    <w:multiLevelType w:val="multilevel"/>
    <w:tmpl w:val="742679B0"/>
    <w:lvl w:ilvl="0">
      <w:start w:val="1"/>
      <w:numFmt w:val="decimal"/>
      <w:lvlText w:val="%1)"/>
      <w:lvlJc w:val="left"/>
      <w:pPr>
        <w:tabs>
          <w:tab w:val="num" w:pos="964"/>
        </w:tabs>
        <w:ind w:left="1304" w:hanging="340"/>
      </w:pPr>
      <w:rPr>
        <w:rFonts w:hint="default"/>
      </w:rPr>
    </w:lvl>
    <w:lvl w:ilvl="1">
      <w:start w:val="1"/>
      <w:numFmt w:val="bullet"/>
      <w:lvlText w:val="o"/>
      <w:lvlJc w:val="left"/>
      <w:pPr>
        <w:tabs>
          <w:tab w:val="num" w:pos="1304"/>
        </w:tabs>
        <w:ind w:left="1644" w:hanging="340"/>
      </w:pPr>
      <w:rPr>
        <w:rFonts w:ascii="Courier New" w:hAnsi="Courier New" w:cs="Courier New" w:hint="default"/>
      </w:rPr>
    </w:lvl>
    <w:lvl w:ilvl="2">
      <w:start w:val="1"/>
      <w:numFmt w:val="bullet"/>
      <w:lvlText w:val=""/>
      <w:lvlJc w:val="left"/>
      <w:pPr>
        <w:tabs>
          <w:tab w:val="num" w:pos="1644"/>
        </w:tabs>
        <w:ind w:left="1984" w:hanging="340"/>
      </w:pPr>
      <w:rPr>
        <w:rFonts w:ascii="Wingdings" w:hAnsi="Wingdings" w:hint="default"/>
      </w:rPr>
    </w:lvl>
    <w:lvl w:ilvl="3">
      <w:start w:val="1"/>
      <w:numFmt w:val="bullet"/>
      <w:lvlText w:val=""/>
      <w:lvlJc w:val="left"/>
      <w:pPr>
        <w:tabs>
          <w:tab w:val="num" w:pos="1984"/>
        </w:tabs>
        <w:ind w:left="2324" w:hanging="340"/>
      </w:pPr>
      <w:rPr>
        <w:rFonts w:ascii="Symbol" w:hAnsi="Symbol" w:hint="default"/>
      </w:rPr>
    </w:lvl>
    <w:lvl w:ilvl="4">
      <w:start w:val="1"/>
      <w:numFmt w:val="bullet"/>
      <w:lvlText w:val="o"/>
      <w:lvlJc w:val="left"/>
      <w:pPr>
        <w:tabs>
          <w:tab w:val="num" w:pos="2324"/>
        </w:tabs>
        <w:ind w:left="2664" w:hanging="340"/>
      </w:pPr>
      <w:rPr>
        <w:rFonts w:ascii="Courier New" w:hAnsi="Courier New" w:cs="Courier New" w:hint="default"/>
      </w:rPr>
    </w:lvl>
    <w:lvl w:ilvl="5">
      <w:start w:val="1"/>
      <w:numFmt w:val="bullet"/>
      <w:lvlText w:val=""/>
      <w:lvlJc w:val="left"/>
      <w:pPr>
        <w:tabs>
          <w:tab w:val="num" w:pos="2664"/>
        </w:tabs>
        <w:ind w:left="3004" w:hanging="340"/>
      </w:pPr>
      <w:rPr>
        <w:rFonts w:ascii="Wingdings" w:hAnsi="Wingdings" w:hint="default"/>
      </w:rPr>
    </w:lvl>
    <w:lvl w:ilvl="6">
      <w:start w:val="1"/>
      <w:numFmt w:val="bullet"/>
      <w:lvlText w:val=""/>
      <w:lvlJc w:val="left"/>
      <w:pPr>
        <w:tabs>
          <w:tab w:val="num" w:pos="3004"/>
        </w:tabs>
        <w:ind w:left="3344" w:hanging="340"/>
      </w:pPr>
      <w:rPr>
        <w:rFonts w:ascii="Symbol" w:hAnsi="Symbol" w:hint="default"/>
      </w:rPr>
    </w:lvl>
    <w:lvl w:ilvl="7">
      <w:start w:val="1"/>
      <w:numFmt w:val="bullet"/>
      <w:lvlText w:val="o"/>
      <w:lvlJc w:val="left"/>
      <w:pPr>
        <w:tabs>
          <w:tab w:val="num" w:pos="3344"/>
        </w:tabs>
        <w:ind w:left="3684" w:hanging="340"/>
      </w:pPr>
      <w:rPr>
        <w:rFonts w:ascii="Courier New" w:hAnsi="Courier New" w:cs="Courier New" w:hint="default"/>
      </w:rPr>
    </w:lvl>
    <w:lvl w:ilvl="8">
      <w:start w:val="1"/>
      <w:numFmt w:val="bullet"/>
      <w:lvlText w:val=""/>
      <w:lvlJc w:val="left"/>
      <w:pPr>
        <w:tabs>
          <w:tab w:val="num" w:pos="3684"/>
        </w:tabs>
        <w:ind w:left="4024" w:hanging="340"/>
      </w:pPr>
      <w:rPr>
        <w:rFonts w:ascii="Wingdings" w:hAnsi="Wingdings" w:hint="default"/>
      </w:rPr>
    </w:lvl>
  </w:abstractNum>
  <w:abstractNum w:abstractNumId="52" w15:restartNumberingAfterBreak="0">
    <w:nsid w:val="5C3B1F7B"/>
    <w:multiLevelType w:val="multilevel"/>
    <w:tmpl w:val="C540D98C"/>
    <w:lvl w:ilvl="0">
      <w:start w:val="1"/>
      <w:numFmt w:val="decimal"/>
      <w:lvlText w:val="%1."/>
      <w:lvlJc w:val="left"/>
      <w:pPr>
        <w:tabs>
          <w:tab w:val="num" w:pos="720"/>
        </w:tabs>
        <w:ind w:left="720" w:hanging="360"/>
      </w:pPr>
    </w:lvl>
    <w:lvl w:ilvl="1">
      <w:start w:val="19"/>
      <w:numFmt w:val="bullet"/>
      <w:lvlText w:val=""/>
      <w:lvlJc w:val="left"/>
      <w:pPr>
        <w:ind w:left="1440" w:hanging="360"/>
      </w:pPr>
      <w:rPr>
        <w:rFonts w:ascii="Wingdings" w:eastAsiaTheme="minorHAnsi" w:hAnsi="Wingdings" w:cs="Verdana"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0155AB7"/>
    <w:multiLevelType w:val="hybridMultilevel"/>
    <w:tmpl w:val="C9E04CC8"/>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15:restartNumberingAfterBreak="0">
    <w:nsid w:val="602125B4"/>
    <w:multiLevelType w:val="hybridMultilevel"/>
    <w:tmpl w:val="4F9222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60D1752A"/>
    <w:multiLevelType w:val="hybridMultilevel"/>
    <w:tmpl w:val="47643F1C"/>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15:restartNumberingAfterBreak="0">
    <w:nsid w:val="644160A8"/>
    <w:multiLevelType w:val="hybridMultilevel"/>
    <w:tmpl w:val="F1CA6242"/>
    <w:lvl w:ilvl="0" w:tplc="040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A883CA5"/>
    <w:multiLevelType w:val="hybridMultilevel"/>
    <w:tmpl w:val="A76459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6FC06921"/>
    <w:multiLevelType w:val="hybridMultilevel"/>
    <w:tmpl w:val="7810899C"/>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20D1C6F"/>
    <w:multiLevelType w:val="hybridMultilevel"/>
    <w:tmpl w:val="CF64C05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23A72A0"/>
    <w:multiLevelType w:val="hybridMultilevel"/>
    <w:tmpl w:val="6B46FA64"/>
    <w:lvl w:ilvl="0" w:tplc="0406000F">
      <w:start w:val="1"/>
      <w:numFmt w:val="decimal"/>
      <w:lvlText w:val="%1."/>
      <w:lvlJc w:val="left"/>
      <w:pPr>
        <w:ind w:left="720" w:hanging="360"/>
      </w:pPr>
    </w:lvl>
    <w:lvl w:ilvl="1" w:tplc="6A584CD4">
      <w:start w:val="1"/>
      <w:numFmt w:val="decimal"/>
      <w:lvlText w:val="(%2)"/>
      <w:lvlJc w:val="left"/>
      <w:pPr>
        <w:ind w:left="1440" w:hanging="360"/>
      </w:pPr>
      <w:rPr>
        <w:rFonts w:hint="default"/>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15:restartNumberingAfterBreak="0">
    <w:nsid w:val="727B16E8"/>
    <w:multiLevelType w:val="hybridMultilevel"/>
    <w:tmpl w:val="EC38C0CE"/>
    <w:lvl w:ilvl="0" w:tplc="E23A7AE0">
      <w:numFmt w:val="bullet"/>
      <w:lvlText w:val="•"/>
      <w:lvlJc w:val="left"/>
      <w:pPr>
        <w:ind w:left="720" w:hanging="360"/>
      </w:pPr>
      <w:rPr>
        <w:rFonts w:ascii="Century Schoolbook" w:eastAsiaTheme="minorHAnsi" w:hAnsi="Century Schoolbook" w:cs="Verdan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2" w15:restartNumberingAfterBreak="0">
    <w:nsid w:val="783C6C88"/>
    <w:multiLevelType w:val="multilevel"/>
    <w:tmpl w:val="742679B0"/>
    <w:lvl w:ilvl="0">
      <w:start w:val="1"/>
      <w:numFmt w:val="decimal"/>
      <w:lvlText w:val="%1)"/>
      <w:lvlJc w:val="left"/>
      <w:pPr>
        <w:tabs>
          <w:tab w:val="num" w:pos="964"/>
        </w:tabs>
        <w:ind w:left="1304" w:hanging="340"/>
      </w:pPr>
      <w:rPr>
        <w:rFonts w:hint="default"/>
      </w:rPr>
    </w:lvl>
    <w:lvl w:ilvl="1">
      <w:start w:val="1"/>
      <w:numFmt w:val="bullet"/>
      <w:lvlText w:val="o"/>
      <w:lvlJc w:val="left"/>
      <w:pPr>
        <w:tabs>
          <w:tab w:val="num" w:pos="1304"/>
        </w:tabs>
        <w:ind w:left="1644" w:hanging="340"/>
      </w:pPr>
      <w:rPr>
        <w:rFonts w:ascii="Courier New" w:hAnsi="Courier New" w:cs="Courier New" w:hint="default"/>
      </w:rPr>
    </w:lvl>
    <w:lvl w:ilvl="2">
      <w:start w:val="1"/>
      <w:numFmt w:val="bullet"/>
      <w:lvlText w:val=""/>
      <w:lvlJc w:val="left"/>
      <w:pPr>
        <w:tabs>
          <w:tab w:val="num" w:pos="1644"/>
        </w:tabs>
        <w:ind w:left="1984" w:hanging="340"/>
      </w:pPr>
      <w:rPr>
        <w:rFonts w:ascii="Wingdings" w:hAnsi="Wingdings" w:hint="default"/>
      </w:rPr>
    </w:lvl>
    <w:lvl w:ilvl="3">
      <w:start w:val="1"/>
      <w:numFmt w:val="bullet"/>
      <w:lvlText w:val=""/>
      <w:lvlJc w:val="left"/>
      <w:pPr>
        <w:tabs>
          <w:tab w:val="num" w:pos="1984"/>
        </w:tabs>
        <w:ind w:left="2324" w:hanging="340"/>
      </w:pPr>
      <w:rPr>
        <w:rFonts w:ascii="Symbol" w:hAnsi="Symbol" w:hint="default"/>
      </w:rPr>
    </w:lvl>
    <w:lvl w:ilvl="4">
      <w:start w:val="1"/>
      <w:numFmt w:val="bullet"/>
      <w:lvlText w:val="o"/>
      <w:lvlJc w:val="left"/>
      <w:pPr>
        <w:tabs>
          <w:tab w:val="num" w:pos="2324"/>
        </w:tabs>
        <w:ind w:left="2664" w:hanging="340"/>
      </w:pPr>
      <w:rPr>
        <w:rFonts w:ascii="Courier New" w:hAnsi="Courier New" w:cs="Courier New" w:hint="default"/>
      </w:rPr>
    </w:lvl>
    <w:lvl w:ilvl="5">
      <w:start w:val="1"/>
      <w:numFmt w:val="bullet"/>
      <w:lvlText w:val=""/>
      <w:lvlJc w:val="left"/>
      <w:pPr>
        <w:tabs>
          <w:tab w:val="num" w:pos="2664"/>
        </w:tabs>
        <w:ind w:left="3004" w:hanging="340"/>
      </w:pPr>
      <w:rPr>
        <w:rFonts w:ascii="Wingdings" w:hAnsi="Wingdings" w:hint="default"/>
      </w:rPr>
    </w:lvl>
    <w:lvl w:ilvl="6">
      <w:start w:val="1"/>
      <w:numFmt w:val="bullet"/>
      <w:lvlText w:val=""/>
      <w:lvlJc w:val="left"/>
      <w:pPr>
        <w:tabs>
          <w:tab w:val="num" w:pos="3004"/>
        </w:tabs>
        <w:ind w:left="3344" w:hanging="340"/>
      </w:pPr>
      <w:rPr>
        <w:rFonts w:ascii="Symbol" w:hAnsi="Symbol" w:hint="default"/>
      </w:rPr>
    </w:lvl>
    <w:lvl w:ilvl="7">
      <w:start w:val="1"/>
      <w:numFmt w:val="bullet"/>
      <w:lvlText w:val="o"/>
      <w:lvlJc w:val="left"/>
      <w:pPr>
        <w:tabs>
          <w:tab w:val="num" w:pos="3344"/>
        </w:tabs>
        <w:ind w:left="3684" w:hanging="340"/>
      </w:pPr>
      <w:rPr>
        <w:rFonts w:ascii="Courier New" w:hAnsi="Courier New" w:cs="Courier New" w:hint="default"/>
      </w:rPr>
    </w:lvl>
    <w:lvl w:ilvl="8">
      <w:start w:val="1"/>
      <w:numFmt w:val="bullet"/>
      <w:lvlText w:val=""/>
      <w:lvlJc w:val="left"/>
      <w:pPr>
        <w:tabs>
          <w:tab w:val="num" w:pos="3684"/>
        </w:tabs>
        <w:ind w:left="4024" w:hanging="340"/>
      </w:pPr>
      <w:rPr>
        <w:rFonts w:ascii="Wingdings" w:hAnsi="Wingdings" w:hint="default"/>
      </w:rPr>
    </w:lvl>
  </w:abstractNum>
  <w:abstractNum w:abstractNumId="63" w15:restartNumberingAfterBreak="0">
    <w:nsid w:val="7C912B2A"/>
    <w:multiLevelType w:val="hybridMultilevel"/>
    <w:tmpl w:val="34E20AFC"/>
    <w:lvl w:ilvl="0" w:tplc="96A8224C">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4" w15:restartNumberingAfterBreak="0">
    <w:nsid w:val="7E20588C"/>
    <w:multiLevelType w:val="multilevel"/>
    <w:tmpl w:val="155023EA"/>
    <w:lvl w:ilvl="0">
      <w:start w:val="1"/>
      <w:numFmt w:val="decimal"/>
      <w:pStyle w:val="Opstilling-talellerbogst"/>
      <w:lvlText w:val="%1."/>
      <w:lvlJc w:val="left"/>
      <w:pPr>
        <w:ind w:left="1418" w:hanging="426"/>
      </w:pPr>
      <w:rPr>
        <w:rFonts w:hint="default"/>
      </w:rPr>
    </w:lvl>
    <w:lvl w:ilvl="1">
      <w:start w:val="1"/>
      <w:numFmt w:val="decimal"/>
      <w:lvlText w:val="%1.%2."/>
      <w:lvlJc w:val="left"/>
      <w:pPr>
        <w:ind w:left="1843" w:hanging="425"/>
      </w:pPr>
      <w:rPr>
        <w:rFonts w:hint="default"/>
      </w:rPr>
    </w:lvl>
    <w:lvl w:ilvl="2">
      <w:start w:val="1"/>
      <w:numFmt w:val="decimal"/>
      <w:lvlText w:val="%1.%2.%3."/>
      <w:lvlJc w:val="left"/>
      <w:pPr>
        <w:ind w:left="2693" w:hanging="850"/>
      </w:pPr>
      <w:rPr>
        <w:rFonts w:hint="default"/>
      </w:rPr>
    </w:lvl>
    <w:lvl w:ilvl="3">
      <w:start w:val="1"/>
      <w:numFmt w:val="decimal"/>
      <w:lvlText w:val="%1.%2.%3.%4."/>
      <w:lvlJc w:val="left"/>
      <w:pPr>
        <w:ind w:left="2693" w:hanging="850"/>
      </w:pPr>
      <w:rPr>
        <w:rFonts w:hint="default"/>
      </w:rPr>
    </w:lvl>
    <w:lvl w:ilvl="4">
      <w:start w:val="1"/>
      <w:numFmt w:val="decimal"/>
      <w:lvlText w:val="%1.%2.%3.%4.%5."/>
      <w:lvlJc w:val="left"/>
      <w:pPr>
        <w:ind w:left="2977" w:hanging="1134"/>
      </w:pPr>
      <w:rPr>
        <w:rFonts w:hint="default"/>
      </w:rPr>
    </w:lvl>
    <w:lvl w:ilvl="5">
      <w:start w:val="1"/>
      <w:numFmt w:val="decimal"/>
      <w:lvlText w:val="%1.%2.%3.%4.%5.%6."/>
      <w:lvlJc w:val="left"/>
      <w:pPr>
        <w:ind w:left="3119" w:hanging="1276"/>
      </w:pPr>
      <w:rPr>
        <w:rFonts w:hint="default"/>
      </w:rPr>
    </w:lvl>
    <w:lvl w:ilvl="6">
      <w:start w:val="1"/>
      <w:numFmt w:val="decimal"/>
      <w:lvlText w:val="%1.%2.%3.%4.%5.%6.%7."/>
      <w:lvlJc w:val="left"/>
      <w:pPr>
        <w:ind w:left="3175" w:hanging="1332"/>
      </w:pPr>
      <w:rPr>
        <w:rFonts w:hint="default"/>
      </w:rPr>
    </w:lvl>
    <w:lvl w:ilvl="7">
      <w:start w:val="1"/>
      <w:numFmt w:val="decimal"/>
      <w:lvlText w:val="%1.%2.%3.%4.%5.%6.%7.%8."/>
      <w:lvlJc w:val="left"/>
      <w:pPr>
        <w:ind w:left="3459" w:hanging="1616"/>
      </w:pPr>
      <w:rPr>
        <w:rFonts w:hint="default"/>
      </w:rPr>
    </w:lvl>
    <w:lvl w:ilvl="8">
      <w:start w:val="1"/>
      <w:numFmt w:val="decimal"/>
      <w:lvlText w:val="%1.%2.%3.%4.%5.%6.%7.%8.%9."/>
      <w:lvlJc w:val="left"/>
      <w:pPr>
        <w:ind w:left="3686" w:hanging="1843"/>
      </w:pPr>
      <w:rPr>
        <w:rFonts w:hint="default"/>
      </w:rPr>
    </w:lvl>
  </w:abstractNum>
  <w:abstractNum w:abstractNumId="65" w15:restartNumberingAfterBreak="0">
    <w:nsid w:val="7E792A32"/>
    <w:multiLevelType w:val="hybridMultilevel"/>
    <w:tmpl w:val="FEC0C26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7"/>
  </w:num>
  <w:num w:numId="4">
    <w:abstractNumId w:val="6"/>
  </w:num>
  <w:num w:numId="5">
    <w:abstractNumId w:val="5"/>
  </w:num>
  <w:num w:numId="6">
    <w:abstractNumId w:val="4"/>
  </w:num>
  <w:num w:numId="7">
    <w:abstractNumId w:val="64"/>
  </w:num>
  <w:num w:numId="8">
    <w:abstractNumId w:val="3"/>
  </w:num>
  <w:num w:numId="9">
    <w:abstractNumId w:val="2"/>
  </w:num>
  <w:num w:numId="10">
    <w:abstractNumId w:val="1"/>
  </w:num>
  <w:num w:numId="11">
    <w:abstractNumId w:val="0"/>
  </w:num>
  <w:num w:numId="12">
    <w:abstractNumId w:val="31"/>
  </w:num>
  <w:num w:numId="13">
    <w:abstractNumId w:val="15"/>
  </w:num>
  <w:num w:numId="14">
    <w:abstractNumId w:val="48"/>
  </w:num>
  <w:num w:numId="15">
    <w:abstractNumId w:val="28"/>
  </w:num>
  <w:num w:numId="16">
    <w:abstractNumId w:val="24"/>
  </w:num>
  <w:num w:numId="17">
    <w:abstractNumId w:val="25"/>
  </w:num>
  <w:num w:numId="18">
    <w:abstractNumId w:val="32"/>
  </w:num>
  <w:num w:numId="19">
    <w:abstractNumId w:val="33"/>
  </w:num>
  <w:num w:numId="20">
    <w:abstractNumId w:val="8"/>
  </w:num>
  <w:num w:numId="21">
    <w:abstractNumId w:val="45"/>
  </w:num>
  <w:num w:numId="22">
    <w:abstractNumId w:val="37"/>
  </w:num>
  <w:num w:numId="23">
    <w:abstractNumId w:val="55"/>
  </w:num>
  <w:num w:numId="24">
    <w:abstractNumId w:val="43"/>
  </w:num>
  <w:num w:numId="25">
    <w:abstractNumId w:val="16"/>
  </w:num>
  <w:num w:numId="26">
    <w:abstractNumId w:val="22"/>
  </w:num>
  <w:num w:numId="27">
    <w:abstractNumId w:val="13"/>
  </w:num>
  <w:num w:numId="28">
    <w:abstractNumId w:val="47"/>
  </w:num>
  <w:num w:numId="29">
    <w:abstractNumId w:val="58"/>
  </w:num>
  <w:num w:numId="30">
    <w:abstractNumId w:val="30"/>
  </w:num>
  <w:num w:numId="31">
    <w:abstractNumId w:val="41"/>
  </w:num>
  <w:num w:numId="32">
    <w:abstractNumId w:val="29"/>
  </w:num>
  <w:num w:numId="33">
    <w:abstractNumId w:val="42"/>
  </w:num>
  <w:num w:numId="34">
    <w:abstractNumId w:val="21"/>
  </w:num>
  <w:num w:numId="35">
    <w:abstractNumId w:val="61"/>
  </w:num>
  <w:num w:numId="36">
    <w:abstractNumId w:val="40"/>
  </w:num>
  <w:num w:numId="37">
    <w:abstractNumId w:val="17"/>
  </w:num>
  <w:num w:numId="38">
    <w:abstractNumId w:val="12"/>
  </w:num>
  <w:num w:numId="39">
    <w:abstractNumId w:val="57"/>
  </w:num>
  <w:num w:numId="40">
    <w:abstractNumId w:val="65"/>
  </w:num>
  <w:num w:numId="41">
    <w:abstractNumId w:val="44"/>
  </w:num>
  <w:num w:numId="42">
    <w:abstractNumId w:val="9"/>
  </w:num>
  <w:num w:numId="43">
    <w:abstractNumId w:val="46"/>
  </w:num>
  <w:num w:numId="44">
    <w:abstractNumId w:val="63"/>
  </w:num>
  <w:num w:numId="45">
    <w:abstractNumId w:val="52"/>
  </w:num>
  <w:num w:numId="46">
    <w:abstractNumId w:val="11"/>
  </w:num>
  <w:num w:numId="47">
    <w:abstractNumId w:val="19"/>
  </w:num>
  <w:num w:numId="48">
    <w:abstractNumId w:val="34"/>
  </w:num>
  <w:num w:numId="49">
    <w:abstractNumId w:val="50"/>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2"/>
  </w:num>
  <w:num w:numId="52">
    <w:abstractNumId w:val="38"/>
  </w:num>
  <w:num w:numId="53">
    <w:abstractNumId w:val="18"/>
  </w:num>
  <w:num w:numId="54">
    <w:abstractNumId w:val="59"/>
  </w:num>
  <w:num w:numId="55">
    <w:abstractNumId w:val="36"/>
  </w:num>
  <w:num w:numId="56">
    <w:abstractNumId w:val="26"/>
  </w:num>
  <w:num w:numId="57">
    <w:abstractNumId w:val="51"/>
  </w:num>
  <w:num w:numId="58">
    <w:abstractNumId w:val="56"/>
  </w:num>
  <w:num w:numId="59">
    <w:abstractNumId w:val="60"/>
  </w:num>
  <w:num w:numId="60">
    <w:abstractNumId w:val="39"/>
  </w:num>
  <w:num w:numId="61">
    <w:abstractNumId w:val="35"/>
  </w:num>
  <w:num w:numId="62">
    <w:abstractNumId w:val="14"/>
  </w:num>
  <w:num w:numId="63">
    <w:abstractNumId w:val="53"/>
  </w:num>
  <w:num w:numId="64">
    <w:abstractNumId w:val="23"/>
  </w:num>
  <w:num w:numId="65">
    <w:abstractNumId w:val="49"/>
  </w:num>
  <w:num w:numId="66">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304"/>
  <w:autoHyphenation/>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CRAFTERTASKPANE" w:val="93ee69c9-35d1-42e2-8629-9f2fc6db2ed4"/>
    <w:docVar w:name="DOCDRAFTER_VERSION" w:val="1.6"/>
    <w:docVar w:name="DOCDRAFTERREINDEX" w:val="NO"/>
    <w:docVar w:name="VERSIONDETAIL" w:val="0"/>
  </w:docVars>
  <w:rsids>
    <w:rsidRoot w:val="009E4B94"/>
    <w:rsid w:val="00000AFC"/>
    <w:rsid w:val="00001FE8"/>
    <w:rsid w:val="00002FDF"/>
    <w:rsid w:val="0000319D"/>
    <w:rsid w:val="00004865"/>
    <w:rsid w:val="00004A8D"/>
    <w:rsid w:val="00004BC2"/>
    <w:rsid w:val="000055DE"/>
    <w:rsid w:val="00006890"/>
    <w:rsid w:val="00007064"/>
    <w:rsid w:val="00007DF0"/>
    <w:rsid w:val="0001058B"/>
    <w:rsid w:val="0001187B"/>
    <w:rsid w:val="00011A7F"/>
    <w:rsid w:val="00013013"/>
    <w:rsid w:val="00013A7F"/>
    <w:rsid w:val="00014590"/>
    <w:rsid w:val="000151F0"/>
    <w:rsid w:val="000154C7"/>
    <w:rsid w:val="0001579C"/>
    <w:rsid w:val="00015B26"/>
    <w:rsid w:val="00016218"/>
    <w:rsid w:val="00016408"/>
    <w:rsid w:val="000172C0"/>
    <w:rsid w:val="0001739B"/>
    <w:rsid w:val="00017596"/>
    <w:rsid w:val="00020444"/>
    <w:rsid w:val="000215C0"/>
    <w:rsid w:val="00021D9D"/>
    <w:rsid w:val="00022133"/>
    <w:rsid w:val="0002236F"/>
    <w:rsid w:val="000233DB"/>
    <w:rsid w:val="00023C6F"/>
    <w:rsid w:val="00025014"/>
    <w:rsid w:val="00025C36"/>
    <w:rsid w:val="00025E26"/>
    <w:rsid w:val="0002636C"/>
    <w:rsid w:val="00026807"/>
    <w:rsid w:val="00027923"/>
    <w:rsid w:val="000307C8"/>
    <w:rsid w:val="00030964"/>
    <w:rsid w:val="00031177"/>
    <w:rsid w:val="000316A8"/>
    <w:rsid w:val="0003257D"/>
    <w:rsid w:val="00033064"/>
    <w:rsid w:val="000333B9"/>
    <w:rsid w:val="00033591"/>
    <w:rsid w:val="000335DC"/>
    <w:rsid w:val="0003469D"/>
    <w:rsid w:val="000351FC"/>
    <w:rsid w:val="00035513"/>
    <w:rsid w:val="00035D13"/>
    <w:rsid w:val="000373C1"/>
    <w:rsid w:val="00041A24"/>
    <w:rsid w:val="00041C66"/>
    <w:rsid w:val="000424ED"/>
    <w:rsid w:val="00042FDB"/>
    <w:rsid w:val="00043910"/>
    <w:rsid w:val="00043D29"/>
    <w:rsid w:val="00043DA2"/>
    <w:rsid w:val="00043F32"/>
    <w:rsid w:val="0004417C"/>
    <w:rsid w:val="000442CC"/>
    <w:rsid w:val="00044E11"/>
    <w:rsid w:val="000455F1"/>
    <w:rsid w:val="00045CF6"/>
    <w:rsid w:val="000470E2"/>
    <w:rsid w:val="00050849"/>
    <w:rsid w:val="00051014"/>
    <w:rsid w:val="00051F0A"/>
    <w:rsid w:val="00053A27"/>
    <w:rsid w:val="00053E15"/>
    <w:rsid w:val="00055557"/>
    <w:rsid w:val="000564F2"/>
    <w:rsid w:val="0005725C"/>
    <w:rsid w:val="0005766F"/>
    <w:rsid w:val="00057C2C"/>
    <w:rsid w:val="00060915"/>
    <w:rsid w:val="000616C4"/>
    <w:rsid w:val="00061A52"/>
    <w:rsid w:val="00062123"/>
    <w:rsid w:val="0006233F"/>
    <w:rsid w:val="00062971"/>
    <w:rsid w:val="00063236"/>
    <w:rsid w:val="00063F82"/>
    <w:rsid w:val="00064C9F"/>
    <w:rsid w:val="000650CB"/>
    <w:rsid w:val="00065251"/>
    <w:rsid w:val="00065810"/>
    <w:rsid w:val="00065B64"/>
    <w:rsid w:val="00066AFD"/>
    <w:rsid w:val="00066B42"/>
    <w:rsid w:val="00066E6B"/>
    <w:rsid w:val="000707A5"/>
    <w:rsid w:val="00070905"/>
    <w:rsid w:val="00070AE5"/>
    <w:rsid w:val="00070C91"/>
    <w:rsid w:val="0007103C"/>
    <w:rsid w:val="0007158F"/>
    <w:rsid w:val="000717E5"/>
    <w:rsid w:val="00071F1E"/>
    <w:rsid w:val="00071FF6"/>
    <w:rsid w:val="00072214"/>
    <w:rsid w:val="00072DBC"/>
    <w:rsid w:val="00073F5E"/>
    <w:rsid w:val="00073FC8"/>
    <w:rsid w:val="0007453D"/>
    <w:rsid w:val="00075001"/>
    <w:rsid w:val="00075833"/>
    <w:rsid w:val="00075D1F"/>
    <w:rsid w:val="00076492"/>
    <w:rsid w:val="00076659"/>
    <w:rsid w:val="00077BB2"/>
    <w:rsid w:val="00077F08"/>
    <w:rsid w:val="00080099"/>
    <w:rsid w:val="00080393"/>
    <w:rsid w:val="000806A3"/>
    <w:rsid w:val="000812DB"/>
    <w:rsid w:val="00081C62"/>
    <w:rsid w:val="00082F56"/>
    <w:rsid w:val="000843F3"/>
    <w:rsid w:val="00085B08"/>
    <w:rsid w:val="00085BB1"/>
    <w:rsid w:val="00085CC3"/>
    <w:rsid w:val="00085D2C"/>
    <w:rsid w:val="00086181"/>
    <w:rsid w:val="00086559"/>
    <w:rsid w:val="000869EE"/>
    <w:rsid w:val="00087170"/>
    <w:rsid w:val="00087C9E"/>
    <w:rsid w:val="00090529"/>
    <w:rsid w:val="000905FE"/>
    <w:rsid w:val="0009067D"/>
    <w:rsid w:val="0009128C"/>
    <w:rsid w:val="000928F3"/>
    <w:rsid w:val="00092E09"/>
    <w:rsid w:val="000935B7"/>
    <w:rsid w:val="00094309"/>
    <w:rsid w:val="00094ABD"/>
    <w:rsid w:val="00096231"/>
    <w:rsid w:val="00096ED6"/>
    <w:rsid w:val="00097433"/>
    <w:rsid w:val="000A1118"/>
    <w:rsid w:val="000A128A"/>
    <w:rsid w:val="000A1D73"/>
    <w:rsid w:val="000A2C5B"/>
    <w:rsid w:val="000A2C98"/>
    <w:rsid w:val="000A2DD2"/>
    <w:rsid w:val="000A37DA"/>
    <w:rsid w:val="000A5290"/>
    <w:rsid w:val="000A5C00"/>
    <w:rsid w:val="000A5F86"/>
    <w:rsid w:val="000A6E3D"/>
    <w:rsid w:val="000A7EA8"/>
    <w:rsid w:val="000B1A6F"/>
    <w:rsid w:val="000B202F"/>
    <w:rsid w:val="000B22E1"/>
    <w:rsid w:val="000B30FD"/>
    <w:rsid w:val="000B429F"/>
    <w:rsid w:val="000B43E9"/>
    <w:rsid w:val="000B6742"/>
    <w:rsid w:val="000B7DEA"/>
    <w:rsid w:val="000B7FCF"/>
    <w:rsid w:val="000C1CAA"/>
    <w:rsid w:val="000C208C"/>
    <w:rsid w:val="000C33DA"/>
    <w:rsid w:val="000C34DD"/>
    <w:rsid w:val="000C3714"/>
    <w:rsid w:val="000C3E13"/>
    <w:rsid w:val="000C3E22"/>
    <w:rsid w:val="000C5BDB"/>
    <w:rsid w:val="000C5C99"/>
    <w:rsid w:val="000C5EAC"/>
    <w:rsid w:val="000C6DB7"/>
    <w:rsid w:val="000C7343"/>
    <w:rsid w:val="000D0C19"/>
    <w:rsid w:val="000D1F47"/>
    <w:rsid w:val="000D2281"/>
    <w:rsid w:val="000D2358"/>
    <w:rsid w:val="000D3068"/>
    <w:rsid w:val="000D5234"/>
    <w:rsid w:val="000D636B"/>
    <w:rsid w:val="000D7190"/>
    <w:rsid w:val="000D7916"/>
    <w:rsid w:val="000D7A0F"/>
    <w:rsid w:val="000E0CE7"/>
    <w:rsid w:val="000E0FF3"/>
    <w:rsid w:val="000E1146"/>
    <w:rsid w:val="000E1938"/>
    <w:rsid w:val="000E19AC"/>
    <w:rsid w:val="000E1CBA"/>
    <w:rsid w:val="000E2011"/>
    <w:rsid w:val="000E216F"/>
    <w:rsid w:val="000E3C0A"/>
    <w:rsid w:val="000E5DBA"/>
    <w:rsid w:val="000E626E"/>
    <w:rsid w:val="000E7944"/>
    <w:rsid w:val="000F0213"/>
    <w:rsid w:val="000F0D5D"/>
    <w:rsid w:val="000F1152"/>
    <w:rsid w:val="000F14AF"/>
    <w:rsid w:val="000F44C0"/>
    <w:rsid w:val="000F60E6"/>
    <w:rsid w:val="000F681C"/>
    <w:rsid w:val="000F74FE"/>
    <w:rsid w:val="000F759C"/>
    <w:rsid w:val="001007B9"/>
    <w:rsid w:val="001012C9"/>
    <w:rsid w:val="001012D6"/>
    <w:rsid w:val="0010169D"/>
    <w:rsid w:val="00101828"/>
    <w:rsid w:val="00101B5F"/>
    <w:rsid w:val="001020DF"/>
    <w:rsid w:val="0010218A"/>
    <w:rsid w:val="00102C35"/>
    <w:rsid w:val="001039D5"/>
    <w:rsid w:val="00103A6E"/>
    <w:rsid w:val="00103B25"/>
    <w:rsid w:val="00103E3F"/>
    <w:rsid w:val="00105FB6"/>
    <w:rsid w:val="00106F98"/>
    <w:rsid w:val="00107810"/>
    <w:rsid w:val="00110518"/>
    <w:rsid w:val="00111F24"/>
    <w:rsid w:val="00112332"/>
    <w:rsid w:val="00112590"/>
    <w:rsid w:val="0011299D"/>
    <w:rsid w:val="00112A90"/>
    <w:rsid w:val="00113287"/>
    <w:rsid w:val="00113359"/>
    <w:rsid w:val="0011445B"/>
    <w:rsid w:val="001148D3"/>
    <w:rsid w:val="00114928"/>
    <w:rsid w:val="00116A93"/>
    <w:rsid w:val="00120845"/>
    <w:rsid w:val="00120F92"/>
    <w:rsid w:val="001210CF"/>
    <w:rsid w:val="00121EC8"/>
    <w:rsid w:val="00122EC4"/>
    <w:rsid w:val="001235CA"/>
    <w:rsid w:val="001236BB"/>
    <w:rsid w:val="00123FFC"/>
    <w:rsid w:val="00124BC4"/>
    <w:rsid w:val="00125374"/>
    <w:rsid w:val="00125798"/>
    <w:rsid w:val="001260A8"/>
    <w:rsid w:val="0012793E"/>
    <w:rsid w:val="001308E9"/>
    <w:rsid w:val="001318F4"/>
    <w:rsid w:val="0013194C"/>
    <w:rsid w:val="0013244F"/>
    <w:rsid w:val="00132C65"/>
    <w:rsid w:val="00134C1D"/>
    <w:rsid w:val="00135154"/>
    <w:rsid w:val="001357ED"/>
    <w:rsid w:val="001379A3"/>
    <w:rsid w:val="001412FE"/>
    <w:rsid w:val="00141A18"/>
    <w:rsid w:val="00141A37"/>
    <w:rsid w:val="00142011"/>
    <w:rsid w:val="00143B67"/>
    <w:rsid w:val="0014483F"/>
    <w:rsid w:val="00144C56"/>
    <w:rsid w:val="001458E4"/>
    <w:rsid w:val="00147D39"/>
    <w:rsid w:val="00151FAE"/>
    <w:rsid w:val="0015240B"/>
    <w:rsid w:val="0015243B"/>
    <w:rsid w:val="00153EB4"/>
    <w:rsid w:val="00154EC1"/>
    <w:rsid w:val="001551A1"/>
    <w:rsid w:val="0015561D"/>
    <w:rsid w:val="001556CA"/>
    <w:rsid w:val="00155967"/>
    <w:rsid w:val="00155983"/>
    <w:rsid w:val="00157137"/>
    <w:rsid w:val="00157BC7"/>
    <w:rsid w:val="001600F2"/>
    <w:rsid w:val="001603A6"/>
    <w:rsid w:val="00160F50"/>
    <w:rsid w:val="00161DB8"/>
    <w:rsid w:val="0016218D"/>
    <w:rsid w:val="00162208"/>
    <w:rsid w:val="001624E2"/>
    <w:rsid w:val="001642E3"/>
    <w:rsid w:val="00164DAE"/>
    <w:rsid w:val="00164FCA"/>
    <w:rsid w:val="00166BA4"/>
    <w:rsid w:val="00167EE8"/>
    <w:rsid w:val="00170DF1"/>
    <w:rsid w:val="00171A22"/>
    <w:rsid w:val="00172672"/>
    <w:rsid w:val="001732C0"/>
    <w:rsid w:val="00174D4A"/>
    <w:rsid w:val="0017556B"/>
    <w:rsid w:val="00175BF6"/>
    <w:rsid w:val="001760DB"/>
    <w:rsid w:val="00176D5D"/>
    <w:rsid w:val="001779A9"/>
    <w:rsid w:val="00182651"/>
    <w:rsid w:val="00182BEE"/>
    <w:rsid w:val="00183DEA"/>
    <w:rsid w:val="00183FBA"/>
    <w:rsid w:val="0018594C"/>
    <w:rsid w:val="00186098"/>
    <w:rsid w:val="00191BEB"/>
    <w:rsid w:val="0019276D"/>
    <w:rsid w:val="00192E01"/>
    <w:rsid w:val="001931C4"/>
    <w:rsid w:val="001950CC"/>
    <w:rsid w:val="001960AB"/>
    <w:rsid w:val="001965D3"/>
    <w:rsid w:val="001A0986"/>
    <w:rsid w:val="001A1303"/>
    <w:rsid w:val="001A1DBA"/>
    <w:rsid w:val="001A3C85"/>
    <w:rsid w:val="001A69A8"/>
    <w:rsid w:val="001A6FB3"/>
    <w:rsid w:val="001A72BB"/>
    <w:rsid w:val="001A7873"/>
    <w:rsid w:val="001A78E0"/>
    <w:rsid w:val="001A7F21"/>
    <w:rsid w:val="001B02A0"/>
    <w:rsid w:val="001B1CDE"/>
    <w:rsid w:val="001B3260"/>
    <w:rsid w:val="001B36B9"/>
    <w:rsid w:val="001B41E9"/>
    <w:rsid w:val="001B4C99"/>
    <w:rsid w:val="001B5274"/>
    <w:rsid w:val="001B741B"/>
    <w:rsid w:val="001B772D"/>
    <w:rsid w:val="001C0243"/>
    <w:rsid w:val="001C048F"/>
    <w:rsid w:val="001C19E7"/>
    <w:rsid w:val="001C2D29"/>
    <w:rsid w:val="001C3DB3"/>
    <w:rsid w:val="001C478B"/>
    <w:rsid w:val="001C48D6"/>
    <w:rsid w:val="001C4BFF"/>
    <w:rsid w:val="001C5D7C"/>
    <w:rsid w:val="001C5F44"/>
    <w:rsid w:val="001C608A"/>
    <w:rsid w:val="001C693B"/>
    <w:rsid w:val="001C6BFB"/>
    <w:rsid w:val="001D043C"/>
    <w:rsid w:val="001D05BA"/>
    <w:rsid w:val="001D10EE"/>
    <w:rsid w:val="001D1304"/>
    <w:rsid w:val="001D2137"/>
    <w:rsid w:val="001D2D3F"/>
    <w:rsid w:val="001D2E97"/>
    <w:rsid w:val="001D3566"/>
    <w:rsid w:val="001D35AB"/>
    <w:rsid w:val="001D3798"/>
    <w:rsid w:val="001D4E51"/>
    <w:rsid w:val="001D7820"/>
    <w:rsid w:val="001E03DB"/>
    <w:rsid w:val="001E0FC4"/>
    <w:rsid w:val="001E1665"/>
    <w:rsid w:val="001E2CF5"/>
    <w:rsid w:val="001E412D"/>
    <w:rsid w:val="001E449D"/>
    <w:rsid w:val="001E4860"/>
    <w:rsid w:val="001E4ECB"/>
    <w:rsid w:val="001E54B6"/>
    <w:rsid w:val="001E5CC3"/>
    <w:rsid w:val="001F15B2"/>
    <w:rsid w:val="001F1696"/>
    <w:rsid w:val="001F1AB9"/>
    <w:rsid w:val="001F2506"/>
    <w:rsid w:val="001F2B09"/>
    <w:rsid w:val="001F306E"/>
    <w:rsid w:val="001F3F17"/>
    <w:rsid w:val="001F5B6D"/>
    <w:rsid w:val="001F64E0"/>
    <w:rsid w:val="001F697E"/>
    <w:rsid w:val="001F7215"/>
    <w:rsid w:val="001F721B"/>
    <w:rsid w:val="002018B0"/>
    <w:rsid w:val="00201D1A"/>
    <w:rsid w:val="00202D50"/>
    <w:rsid w:val="00203EF6"/>
    <w:rsid w:val="00204FAC"/>
    <w:rsid w:val="00205080"/>
    <w:rsid w:val="00205227"/>
    <w:rsid w:val="002056CD"/>
    <w:rsid w:val="00206FF6"/>
    <w:rsid w:val="0021074A"/>
    <w:rsid w:val="002113B3"/>
    <w:rsid w:val="0021146F"/>
    <w:rsid w:val="002118AE"/>
    <w:rsid w:val="00211E4E"/>
    <w:rsid w:val="002122B8"/>
    <w:rsid w:val="0021256D"/>
    <w:rsid w:val="00212C72"/>
    <w:rsid w:val="00212D3B"/>
    <w:rsid w:val="0021328F"/>
    <w:rsid w:val="00214C16"/>
    <w:rsid w:val="00214D74"/>
    <w:rsid w:val="00216F1D"/>
    <w:rsid w:val="00217355"/>
    <w:rsid w:val="00220293"/>
    <w:rsid w:val="0022070A"/>
    <w:rsid w:val="002218E6"/>
    <w:rsid w:val="00223900"/>
    <w:rsid w:val="00225B6A"/>
    <w:rsid w:val="00225DA7"/>
    <w:rsid w:val="00225E37"/>
    <w:rsid w:val="00225F40"/>
    <w:rsid w:val="00226AB0"/>
    <w:rsid w:val="00226D6A"/>
    <w:rsid w:val="00226F8B"/>
    <w:rsid w:val="00227749"/>
    <w:rsid w:val="0023119B"/>
    <w:rsid w:val="002316A2"/>
    <w:rsid w:val="0023212D"/>
    <w:rsid w:val="002335E5"/>
    <w:rsid w:val="00233A57"/>
    <w:rsid w:val="0023626A"/>
    <w:rsid w:val="0023673A"/>
    <w:rsid w:val="0023679C"/>
    <w:rsid w:val="0023739D"/>
    <w:rsid w:val="00237400"/>
    <w:rsid w:val="00241A38"/>
    <w:rsid w:val="0024203F"/>
    <w:rsid w:val="00242596"/>
    <w:rsid w:val="00243668"/>
    <w:rsid w:val="00243843"/>
    <w:rsid w:val="0024399B"/>
    <w:rsid w:val="00243BCE"/>
    <w:rsid w:val="00244D70"/>
    <w:rsid w:val="00245026"/>
    <w:rsid w:val="00245193"/>
    <w:rsid w:val="00245737"/>
    <w:rsid w:val="0024578E"/>
    <w:rsid w:val="00246C78"/>
    <w:rsid w:val="00246DC6"/>
    <w:rsid w:val="002471F7"/>
    <w:rsid w:val="00247D38"/>
    <w:rsid w:val="00252D6D"/>
    <w:rsid w:val="002538F8"/>
    <w:rsid w:val="0025436C"/>
    <w:rsid w:val="00254CA1"/>
    <w:rsid w:val="00254D6A"/>
    <w:rsid w:val="002550B7"/>
    <w:rsid w:val="002557A9"/>
    <w:rsid w:val="00255B0F"/>
    <w:rsid w:val="0025610B"/>
    <w:rsid w:val="002568C4"/>
    <w:rsid w:val="00256B93"/>
    <w:rsid w:val="00257540"/>
    <w:rsid w:val="0025790B"/>
    <w:rsid w:val="00257D7C"/>
    <w:rsid w:val="00260064"/>
    <w:rsid w:val="002606FE"/>
    <w:rsid w:val="0026238F"/>
    <w:rsid w:val="00262FCE"/>
    <w:rsid w:val="002639C4"/>
    <w:rsid w:val="00263FBE"/>
    <w:rsid w:val="00266042"/>
    <w:rsid w:val="00266DC0"/>
    <w:rsid w:val="002700C4"/>
    <w:rsid w:val="002704F2"/>
    <w:rsid w:val="002709A1"/>
    <w:rsid w:val="0027170F"/>
    <w:rsid w:val="002726FC"/>
    <w:rsid w:val="002729B0"/>
    <w:rsid w:val="002738FF"/>
    <w:rsid w:val="00273CAC"/>
    <w:rsid w:val="0027467A"/>
    <w:rsid w:val="00274EFF"/>
    <w:rsid w:val="00275857"/>
    <w:rsid w:val="002758EE"/>
    <w:rsid w:val="002763C5"/>
    <w:rsid w:val="00276EB4"/>
    <w:rsid w:val="002773A4"/>
    <w:rsid w:val="00277FF9"/>
    <w:rsid w:val="00281547"/>
    <w:rsid w:val="002821A2"/>
    <w:rsid w:val="00282FB7"/>
    <w:rsid w:val="0028411D"/>
    <w:rsid w:val="00284173"/>
    <w:rsid w:val="00284BD6"/>
    <w:rsid w:val="00284C94"/>
    <w:rsid w:val="00284E53"/>
    <w:rsid w:val="00284EC7"/>
    <w:rsid w:val="002853BB"/>
    <w:rsid w:val="002861D3"/>
    <w:rsid w:val="00286B09"/>
    <w:rsid w:val="00286C33"/>
    <w:rsid w:val="002921C0"/>
    <w:rsid w:val="002924D8"/>
    <w:rsid w:val="00295512"/>
    <w:rsid w:val="00295606"/>
    <w:rsid w:val="0029560B"/>
    <w:rsid w:val="00295A42"/>
    <w:rsid w:val="00296261"/>
    <w:rsid w:val="002A0631"/>
    <w:rsid w:val="002A1DC2"/>
    <w:rsid w:val="002A20F8"/>
    <w:rsid w:val="002A2737"/>
    <w:rsid w:val="002A2FAA"/>
    <w:rsid w:val="002A37AB"/>
    <w:rsid w:val="002A3AFB"/>
    <w:rsid w:val="002A3E19"/>
    <w:rsid w:val="002A453A"/>
    <w:rsid w:val="002A466F"/>
    <w:rsid w:val="002A4E50"/>
    <w:rsid w:val="002A4FB0"/>
    <w:rsid w:val="002A55DA"/>
    <w:rsid w:val="002A58B1"/>
    <w:rsid w:val="002A7B96"/>
    <w:rsid w:val="002A7C82"/>
    <w:rsid w:val="002B2746"/>
    <w:rsid w:val="002B354E"/>
    <w:rsid w:val="002B35EB"/>
    <w:rsid w:val="002B424F"/>
    <w:rsid w:val="002B434B"/>
    <w:rsid w:val="002B467D"/>
    <w:rsid w:val="002B4CBD"/>
    <w:rsid w:val="002B5B97"/>
    <w:rsid w:val="002C0000"/>
    <w:rsid w:val="002C02C8"/>
    <w:rsid w:val="002C3386"/>
    <w:rsid w:val="002C4684"/>
    <w:rsid w:val="002C480D"/>
    <w:rsid w:val="002C4F26"/>
    <w:rsid w:val="002C5273"/>
    <w:rsid w:val="002C5297"/>
    <w:rsid w:val="002C7367"/>
    <w:rsid w:val="002C7B3F"/>
    <w:rsid w:val="002D069F"/>
    <w:rsid w:val="002D0E41"/>
    <w:rsid w:val="002D121C"/>
    <w:rsid w:val="002D2A03"/>
    <w:rsid w:val="002D30EE"/>
    <w:rsid w:val="002D32BC"/>
    <w:rsid w:val="002D33DB"/>
    <w:rsid w:val="002D3F10"/>
    <w:rsid w:val="002D5562"/>
    <w:rsid w:val="002D558D"/>
    <w:rsid w:val="002D5E54"/>
    <w:rsid w:val="002D5E6B"/>
    <w:rsid w:val="002D72DA"/>
    <w:rsid w:val="002D7AEF"/>
    <w:rsid w:val="002E007A"/>
    <w:rsid w:val="002E107A"/>
    <w:rsid w:val="002E1720"/>
    <w:rsid w:val="002E1CA2"/>
    <w:rsid w:val="002E239B"/>
    <w:rsid w:val="002E27B6"/>
    <w:rsid w:val="002E2D28"/>
    <w:rsid w:val="002E3D5D"/>
    <w:rsid w:val="002E4028"/>
    <w:rsid w:val="002E4557"/>
    <w:rsid w:val="002E5844"/>
    <w:rsid w:val="002E677A"/>
    <w:rsid w:val="002E6C7A"/>
    <w:rsid w:val="002E715A"/>
    <w:rsid w:val="002E74A4"/>
    <w:rsid w:val="002F29E9"/>
    <w:rsid w:val="002F3D77"/>
    <w:rsid w:val="002F3E17"/>
    <w:rsid w:val="002F4A4B"/>
    <w:rsid w:val="002F51A8"/>
    <w:rsid w:val="002F7420"/>
    <w:rsid w:val="002F7EBC"/>
    <w:rsid w:val="00300BCD"/>
    <w:rsid w:val="0030153D"/>
    <w:rsid w:val="00301D0D"/>
    <w:rsid w:val="00302935"/>
    <w:rsid w:val="00303A6A"/>
    <w:rsid w:val="00304C0E"/>
    <w:rsid w:val="003055DA"/>
    <w:rsid w:val="00305A33"/>
    <w:rsid w:val="00306692"/>
    <w:rsid w:val="003066DB"/>
    <w:rsid w:val="003069C8"/>
    <w:rsid w:val="00306EDD"/>
    <w:rsid w:val="003071D2"/>
    <w:rsid w:val="00307F32"/>
    <w:rsid w:val="00310224"/>
    <w:rsid w:val="003117C2"/>
    <w:rsid w:val="00312CC6"/>
    <w:rsid w:val="00312F14"/>
    <w:rsid w:val="00314F1E"/>
    <w:rsid w:val="00315E41"/>
    <w:rsid w:val="00316556"/>
    <w:rsid w:val="00316E69"/>
    <w:rsid w:val="0031781E"/>
    <w:rsid w:val="003203C8"/>
    <w:rsid w:val="003210C2"/>
    <w:rsid w:val="00322E04"/>
    <w:rsid w:val="00322EBB"/>
    <w:rsid w:val="00323AE1"/>
    <w:rsid w:val="00325946"/>
    <w:rsid w:val="00325B57"/>
    <w:rsid w:val="0032613C"/>
    <w:rsid w:val="00326837"/>
    <w:rsid w:val="003275B5"/>
    <w:rsid w:val="003314D8"/>
    <w:rsid w:val="003320BC"/>
    <w:rsid w:val="003322CA"/>
    <w:rsid w:val="0033253B"/>
    <w:rsid w:val="00332CF2"/>
    <w:rsid w:val="00335758"/>
    <w:rsid w:val="00335B11"/>
    <w:rsid w:val="003371BC"/>
    <w:rsid w:val="00337466"/>
    <w:rsid w:val="0034326C"/>
    <w:rsid w:val="00343473"/>
    <w:rsid w:val="003435CE"/>
    <w:rsid w:val="00343A40"/>
    <w:rsid w:val="00344021"/>
    <w:rsid w:val="0034687A"/>
    <w:rsid w:val="00346FE5"/>
    <w:rsid w:val="003471F4"/>
    <w:rsid w:val="0034760B"/>
    <w:rsid w:val="00347792"/>
    <w:rsid w:val="00352739"/>
    <w:rsid w:val="0035346B"/>
    <w:rsid w:val="00353556"/>
    <w:rsid w:val="00355397"/>
    <w:rsid w:val="003555C0"/>
    <w:rsid w:val="00356D99"/>
    <w:rsid w:val="00357D3E"/>
    <w:rsid w:val="0036180B"/>
    <w:rsid w:val="00361AB1"/>
    <w:rsid w:val="00361BC1"/>
    <w:rsid w:val="003629F8"/>
    <w:rsid w:val="003632A5"/>
    <w:rsid w:val="0036373A"/>
    <w:rsid w:val="0036387E"/>
    <w:rsid w:val="00363C80"/>
    <w:rsid w:val="0036440D"/>
    <w:rsid w:val="00364A26"/>
    <w:rsid w:val="00364B82"/>
    <w:rsid w:val="00364E55"/>
    <w:rsid w:val="00366DA5"/>
    <w:rsid w:val="0036712B"/>
    <w:rsid w:val="0036756C"/>
    <w:rsid w:val="00370608"/>
    <w:rsid w:val="00371D56"/>
    <w:rsid w:val="003734EC"/>
    <w:rsid w:val="003744DA"/>
    <w:rsid w:val="00374E29"/>
    <w:rsid w:val="00375A31"/>
    <w:rsid w:val="0037671B"/>
    <w:rsid w:val="00381BF5"/>
    <w:rsid w:val="00382B4B"/>
    <w:rsid w:val="00384425"/>
    <w:rsid w:val="0038478C"/>
    <w:rsid w:val="00384C37"/>
    <w:rsid w:val="00385E95"/>
    <w:rsid w:val="003900CE"/>
    <w:rsid w:val="00391EC2"/>
    <w:rsid w:val="00392701"/>
    <w:rsid w:val="003929F3"/>
    <w:rsid w:val="00392F3F"/>
    <w:rsid w:val="0039406A"/>
    <w:rsid w:val="00394931"/>
    <w:rsid w:val="00395DF2"/>
    <w:rsid w:val="00396860"/>
    <w:rsid w:val="00396A6C"/>
    <w:rsid w:val="0039766E"/>
    <w:rsid w:val="003A2353"/>
    <w:rsid w:val="003A54BB"/>
    <w:rsid w:val="003A55E5"/>
    <w:rsid w:val="003A57D2"/>
    <w:rsid w:val="003A7473"/>
    <w:rsid w:val="003B06E1"/>
    <w:rsid w:val="003B18CC"/>
    <w:rsid w:val="003B31B2"/>
    <w:rsid w:val="003B35B0"/>
    <w:rsid w:val="003B3F11"/>
    <w:rsid w:val="003B437A"/>
    <w:rsid w:val="003B474F"/>
    <w:rsid w:val="003B4DA0"/>
    <w:rsid w:val="003B53A0"/>
    <w:rsid w:val="003B5550"/>
    <w:rsid w:val="003B5914"/>
    <w:rsid w:val="003B68D9"/>
    <w:rsid w:val="003B71C2"/>
    <w:rsid w:val="003B755F"/>
    <w:rsid w:val="003B7A02"/>
    <w:rsid w:val="003B7AD5"/>
    <w:rsid w:val="003B7F13"/>
    <w:rsid w:val="003C0171"/>
    <w:rsid w:val="003C12C4"/>
    <w:rsid w:val="003C1753"/>
    <w:rsid w:val="003C1FBA"/>
    <w:rsid w:val="003C22AC"/>
    <w:rsid w:val="003C26C5"/>
    <w:rsid w:val="003C2E6F"/>
    <w:rsid w:val="003C3380"/>
    <w:rsid w:val="003C33AD"/>
    <w:rsid w:val="003C3569"/>
    <w:rsid w:val="003C3F54"/>
    <w:rsid w:val="003C4267"/>
    <w:rsid w:val="003C4F9F"/>
    <w:rsid w:val="003C51AB"/>
    <w:rsid w:val="003C6041"/>
    <w:rsid w:val="003C60F1"/>
    <w:rsid w:val="003C7572"/>
    <w:rsid w:val="003C75DA"/>
    <w:rsid w:val="003C7853"/>
    <w:rsid w:val="003D099B"/>
    <w:rsid w:val="003D0E02"/>
    <w:rsid w:val="003D1A8C"/>
    <w:rsid w:val="003D25B2"/>
    <w:rsid w:val="003D26BC"/>
    <w:rsid w:val="003D2C3F"/>
    <w:rsid w:val="003D2CD0"/>
    <w:rsid w:val="003D3182"/>
    <w:rsid w:val="003D3323"/>
    <w:rsid w:val="003D38F8"/>
    <w:rsid w:val="003D45AE"/>
    <w:rsid w:val="003D4BFB"/>
    <w:rsid w:val="003D5582"/>
    <w:rsid w:val="003D6371"/>
    <w:rsid w:val="003D7776"/>
    <w:rsid w:val="003E1DD1"/>
    <w:rsid w:val="003E21F9"/>
    <w:rsid w:val="003E2B93"/>
    <w:rsid w:val="003E2FDC"/>
    <w:rsid w:val="003E30C0"/>
    <w:rsid w:val="003E367A"/>
    <w:rsid w:val="003E36FF"/>
    <w:rsid w:val="003E375A"/>
    <w:rsid w:val="003E39B8"/>
    <w:rsid w:val="003E445F"/>
    <w:rsid w:val="003E53AB"/>
    <w:rsid w:val="003E559C"/>
    <w:rsid w:val="003E7922"/>
    <w:rsid w:val="003F0C1A"/>
    <w:rsid w:val="003F1EEF"/>
    <w:rsid w:val="003F1FAB"/>
    <w:rsid w:val="003F2267"/>
    <w:rsid w:val="003F2D82"/>
    <w:rsid w:val="003F41C3"/>
    <w:rsid w:val="003F438C"/>
    <w:rsid w:val="003F558E"/>
    <w:rsid w:val="003F7734"/>
    <w:rsid w:val="00400389"/>
    <w:rsid w:val="00403BB8"/>
    <w:rsid w:val="00404354"/>
    <w:rsid w:val="00404BE1"/>
    <w:rsid w:val="00406E67"/>
    <w:rsid w:val="00407898"/>
    <w:rsid w:val="004111F4"/>
    <w:rsid w:val="0041123C"/>
    <w:rsid w:val="00414986"/>
    <w:rsid w:val="00414CEA"/>
    <w:rsid w:val="0041523F"/>
    <w:rsid w:val="004174B5"/>
    <w:rsid w:val="0041762E"/>
    <w:rsid w:val="00421009"/>
    <w:rsid w:val="0042149A"/>
    <w:rsid w:val="00421A2B"/>
    <w:rsid w:val="00421CA9"/>
    <w:rsid w:val="004229D3"/>
    <w:rsid w:val="00422A3A"/>
    <w:rsid w:val="00422BE5"/>
    <w:rsid w:val="00423C98"/>
    <w:rsid w:val="00424576"/>
    <w:rsid w:val="00424607"/>
    <w:rsid w:val="00424709"/>
    <w:rsid w:val="00424A15"/>
    <w:rsid w:val="00424AA8"/>
    <w:rsid w:val="00424AD9"/>
    <w:rsid w:val="00424BA8"/>
    <w:rsid w:val="00426485"/>
    <w:rsid w:val="004267ED"/>
    <w:rsid w:val="00426883"/>
    <w:rsid w:val="0042696B"/>
    <w:rsid w:val="00426BDC"/>
    <w:rsid w:val="00426F10"/>
    <w:rsid w:val="004271D2"/>
    <w:rsid w:val="00430E95"/>
    <w:rsid w:val="00431562"/>
    <w:rsid w:val="00431D83"/>
    <w:rsid w:val="00432242"/>
    <w:rsid w:val="00432DD2"/>
    <w:rsid w:val="00433E87"/>
    <w:rsid w:val="004348C0"/>
    <w:rsid w:val="004351C6"/>
    <w:rsid w:val="00436AF8"/>
    <w:rsid w:val="004370DF"/>
    <w:rsid w:val="0044055B"/>
    <w:rsid w:val="0044111A"/>
    <w:rsid w:val="00441219"/>
    <w:rsid w:val="00441B97"/>
    <w:rsid w:val="00441C42"/>
    <w:rsid w:val="00441D4F"/>
    <w:rsid w:val="00442B25"/>
    <w:rsid w:val="00442B59"/>
    <w:rsid w:val="00444BCA"/>
    <w:rsid w:val="00445000"/>
    <w:rsid w:val="00445469"/>
    <w:rsid w:val="004460DC"/>
    <w:rsid w:val="00446620"/>
    <w:rsid w:val="00446D09"/>
    <w:rsid w:val="00446FEC"/>
    <w:rsid w:val="00447315"/>
    <w:rsid w:val="0044780B"/>
    <w:rsid w:val="00447ACA"/>
    <w:rsid w:val="00450D7F"/>
    <w:rsid w:val="00450FFD"/>
    <w:rsid w:val="0045105F"/>
    <w:rsid w:val="004514B1"/>
    <w:rsid w:val="004514CD"/>
    <w:rsid w:val="0045232C"/>
    <w:rsid w:val="004529E0"/>
    <w:rsid w:val="00452C2C"/>
    <w:rsid w:val="00454A8A"/>
    <w:rsid w:val="0045528A"/>
    <w:rsid w:val="00455686"/>
    <w:rsid w:val="0045624D"/>
    <w:rsid w:val="004563A3"/>
    <w:rsid w:val="00456EAE"/>
    <w:rsid w:val="00457646"/>
    <w:rsid w:val="00457B99"/>
    <w:rsid w:val="00461973"/>
    <w:rsid w:val="00461FD4"/>
    <w:rsid w:val="0046454C"/>
    <w:rsid w:val="00464805"/>
    <w:rsid w:val="004665E2"/>
    <w:rsid w:val="00467806"/>
    <w:rsid w:val="00470ACB"/>
    <w:rsid w:val="0047203C"/>
    <w:rsid w:val="00473699"/>
    <w:rsid w:val="004736AD"/>
    <w:rsid w:val="0047512F"/>
    <w:rsid w:val="004756E4"/>
    <w:rsid w:val="0047577A"/>
    <w:rsid w:val="00476291"/>
    <w:rsid w:val="00476DC1"/>
    <w:rsid w:val="00476FDC"/>
    <w:rsid w:val="00477196"/>
    <w:rsid w:val="00480FD7"/>
    <w:rsid w:val="0048170D"/>
    <w:rsid w:val="00481F96"/>
    <w:rsid w:val="004828B5"/>
    <w:rsid w:val="004831DA"/>
    <w:rsid w:val="0048328A"/>
    <w:rsid w:val="00483580"/>
    <w:rsid w:val="004836E2"/>
    <w:rsid w:val="00485B42"/>
    <w:rsid w:val="00487419"/>
    <w:rsid w:val="0049011F"/>
    <w:rsid w:val="004903DF"/>
    <w:rsid w:val="00490BE8"/>
    <w:rsid w:val="00491E58"/>
    <w:rsid w:val="00492077"/>
    <w:rsid w:val="00492AE4"/>
    <w:rsid w:val="00492B5B"/>
    <w:rsid w:val="00493827"/>
    <w:rsid w:val="004946D2"/>
    <w:rsid w:val="00494BC1"/>
    <w:rsid w:val="004966A2"/>
    <w:rsid w:val="00497559"/>
    <w:rsid w:val="00497785"/>
    <w:rsid w:val="004A066D"/>
    <w:rsid w:val="004A17A1"/>
    <w:rsid w:val="004A2C58"/>
    <w:rsid w:val="004A33CF"/>
    <w:rsid w:val="004A4275"/>
    <w:rsid w:val="004A4E98"/>
    <w:rsid w:val="004A57CA"/>
    <w:rsid w:val="004A5FFD"/>
    <w:rsid w:val="004B0C74"/>
    <w:rsid w:val="004B12E4"/>
    <w:rsid w:val="004B2491"/>
    <w:rsid w:val="004B2719"/>
    <w:rsid w:val="004B2F28"/>
    <w:rsid w:val="004B3CF9"/>
    <w:rsid w:val="004B5A77"/>
    <w:rsid w:val="004B60E3"/>
    <w:rsid w:val="004B68B6"/>
    <w:rsid w:val="004B6C2B"/>
    <w:rsid w:val="004C01B2"/>
    <w:rsid w:val="004C22CD"/>
    <w:rsid w:val="004C2400"/>
    <w:rsid w:val="004C3F22"/>
    <w:rsid w:val="004C3FFF"/>
    <w:rsid w:val="004C6B40"/>
    <w:rsid w:val="004C7595"/>
    <w:rsid w:val="004C7C34"/>
    <w:rsid w:val="004C7D3D"/>
    <w:rsid w:val="004D039F"/>
    <w:rsid w:val="004D0435"/>
    <w:rsid w:val="004D64DF"/>
    <w:rsid w:val="004D7859"/>
    <w:rsid w:val="004E0BFD"/>
    <w:rsid w:val="004E1AA9"/>
    <w:rsid w:val="004E2375"/>
    <w:rsid w:val="004E35DA"/>
    <w:rsid w:val="004E4531"/>
    <w:rsid w:val="004E48FD"/>
    <w:rsid w:val="004E4BA7"/>
    <w:rsid w:val="004E5093"/>
    <w:rsid w:val="004E590A"/>
    <w:rsid w:val="004E596C"/>
    <w:rsid w:val="004E66A3"/>
    <w:rsid w:val="004E70F8"/>
    <w:rsid w:val="004E7C5E"/>
    <w:rsid w:val="004F1ED7"/>
    <w:rsid w:val="004F2627"/>
    <w:rsid w:val="004F2697"/>
    <w:rsid w:val="004F2F70"/>
    <w:rsid w:val="004F4C6A"/>
    <w:rsid w:val="004F5F69"/>
    <w:rsid w:val="004F675B"/>
    <w:rsid w:val="004F711B"/>
    <w:rsid w:val="004F7B86"/>
    <w:rsid w:val="0050018C"/>
    <w:rsid w:val="0050050A"/>
    <w:rsid w:val="00500B20"/>
    <w:rsid w:val="00500C49"/>
    <w:rsid w:val="005027C5"/>
    <w:rsid w:val="00503927"/>
    <w:rsid w:val="00503DC1"/>
    <w:rsid w:val="005049AE"/>
    <w:rsid w:val="00504FF0"/>
    <w:rsid w:val="00505B9A"/>
    <w:rsid w:val="00505EE8"/>
    <w:rsid w:val="0050739D"/>
    <w:rsid w:val="00510E2A"/>
    <w:rsid w:val="005112F9"/>
    <w:rsid w:val="00512155"/>
    <w:rsid w:val="00512250"/>
    <w:rsid w:val="00512379"/>
    <w:rsid w:val="0051274E"/>
    <w:rsid w:val="00512C91"/>
    <w:rsid w:val="0051344B"/>
    <w:rsid w:val="005134F1"/>
    <w:rsid w:val="00513E0E"/>
    <w:rsid w:val="00514165"/>
    <w:rsid w:val="00514B88"/>
    <w:rsid w:val="00515616"/>
    <w:rsid w:val="0051672A"/>
    <w:rsid w:val="005174C6"/>
    <w:rsid w:val="005178A7"/>
    <w:rsid w:val="00517A02"/>
    <w:rsid w:val="00517B0D"/>
    <w:rsid w:val="00517EF7"/>
    <w:rsid w:val="005202E6"/>
    <w:rsid w:val="00520479"/>
    <w:rsid w:val="00520EBC"/>
    <w:rsid w:val="00523602"/>
    <w:rsid w:val="005247DB"/>
    <w:rsid w:val="00524F35"/>
    <w:rsid w:val="00525415"/>
    <w:rsid w:val="00525C69"/>
    <w:rsid w:val="0052605A"/>
    <w:rsid w:val="0052627D"/>
    <w:rsid w:val="00526629"/>
    <w:rsid w:val="005271CD"/>
    <w:rsid w:val="0053007E"/>
    <w:rsid w:val="00530A75"/>
    <w:rsid w:val="00530E57"/>
    <w:rsid w:val="005320FD"/>
    <w:rsid w:val="005327AC"/>
    <w:rsid w:val="005331B7"/>
    <w:rsid w:val="00533C05"/>
    <w:rsid w:val="005343FF"/>
    <w:rsid w:val="0053507A"/>
    <w:rsid w:val="00537D5C"/>
    <w:rsid w:val="005411B9"/>
    <w:rsid w:val="00541F6D"/>
    <w:rsid w:val="005436B3"/>
    <w:rsid w:val="00543EF2"/>
    <w:rsid w:val="00545202"/>
    <w:rsid w:val="00545877"/>
    <w:rsid w:val="00545C85"/>
    <w:rsid w:val="00546241"/>
    <w:rsid w:val="005467EA"/>
    <w:rsid w:val="00551304"/>
    <w:rsid w:val="00551FDD"/>
    <w:rsid w:val="00552359"/>
    <w:rsid w:val="005526E7"/>
    <w:rsid w:val="00552F4C"/>
    <w:rsid w:val="005534A3"/>
    <w:rsid w:val="00554437"/>
    <w:rsid w:val="00554BE4"/>
    <w:rsid w:val="005555F7"/>
    <w:rsid w:val="00555DE9"/>
    <w:rsid w:val="00555F85"/>
    <w:rsid w:val="0055635C"/>
    <w:rsid w:val="0055657B"/>
    <w:rsid w:val="00556B49"/>
    <w:rsid w:val="00557DC2"/>
    <w:rsid w:val="00560277"/>
    <w:rsid w:val="0056121D"/>
    <w:rsid w:val="00561227"/>
    <w:rsid w:val="00561C72"/>
    <w:rsid w:val="005622ED"/>
    <w:rsid w:val="0056259A"/>
    <w:rsid w:val="00562686"/>
    <w:rsid w:val="00563263"/>
    <w:rsid w:val="00563401"/>
    <w:rsid w:val="0056431D"/>
    <w:rsid w:val="00564F85"/>
    <w:rsid w:val="00566426"/>
    <w:rsid w:val="005666AB"/>
    <w:rsid w:val="00567494"/>
    <w:rsid w:val="005674DF"/>
    <w:rsid w:val="0056793E"/>
    <w:rsid w:val="00570194"/>
    <w:rsid w:val="0057029B"/>
    <w:rsid w:val="005705D2"/>
    <w:rsid w:val="005718C9"/>
    <w:rsid w:val="0057430F"/>
    <w:rsid w:val="00575DF8"/>
    <w:rsid w:val="0057772C"/>
    <w:rsid w:val="00581325"/>
    <w:rsid w:val="0058198B"/>
    <w:rsid w:val="00582AE7"/>
    <w:rsid w:val="00582B24"/>
    <w:rsid w:val="0058390A"/>
    <w:rsid w:val="00583AC9"/>
    <w:rsid w:val="00583F13"/>
    <w:rsid w:val="0058424F"/>
    <w:rsid w:val="00584314"/>
    <w:rsid w:val="0058476A"/>
    <w:rsid w:val="00584869"/>
    <w:rsid w:val="005849A1"/>
    <w:rsid w:val="00584EAF"/>
    <w:rsid w:val="00585159"/>
    <w:rsid w:val="005856B0"/>
    <w:rsid w:val="00586A9A"/>
    <w:rsid w:val="00586D4B"/>
    <w:rsid w:val="005871F9"/>
    <w:rsid w:val="0059030E"/>
    <w:rsid w:val="005903C5"/>
    <w:rsid w:val="00590A56"/>
    <w:rsid w:val="00590BCC"/>
    <w:rsid w:val="00591D70"/>
    <w:rsid w:val="005922EB"/>
    <w:rsid w:val="00592814"/>
    <w:rsid w:val="00592F25"/>
    <w:rsid w:val="00593668"/>
    <w:rsid w:val="0059445E"/>
    <w:rsid w:val="00594C5D"/>
    <w:rsid w:val="005950A2"/>
    <w:rsid w:val="0059540A"/>
    <w:rsid w:val="005958A0"/>
    <w:rsid w:val="00595DB2"/>
    <w:rsid w:val="0059633C"/>
    <w:rsid w:val="00596D84"/>
    <w:rsid w:val="005A1500"/>
    <w:rsid w:val="005A28D4"/>
    <w:rsid w:val="005A324F"/>
    <w:rsid w:val="005A4230"/>
    <w:rsid w:val="005A4E92"/>
    <w:rsid w:val="005A57E5"/>
    <w:rsid w:val="005A7568"/>
    <w:rsid w:val="005A7670"/>
    <w:rsid w:val="005A7B69"/>
    <w:rsid w:val="005B0250"/>
    <w:rsid w:val="005B0A5F"/>
    <w:rsid w:val="005B0C83"/>
    <w:rsid w:val="005B0CC3"/>
    <w:rsid w:val="005B0F35"/>
    <w:rsid w:val="005B3E60"/>
    <w:rsid w:val="005B682E"/>
    <w:rsid w:val="005B6962"/>
    <w:rsid w:val="005B6A85"/>
    <w:rsid w:val="005C0DA6"/>
    <w:rsid w:val="005C13E6"/>
    <w:rsid w:val="005C2D88"/>
    <w:rsid w:val="005C3A05"/>
    <w:rsid w:val="005C3A88"/>
    <w:rsid w:val="005C3ADF"/>
    <w:rsid w:val="005C3F34"/>
    <w:rsid w:val="005C41EF"/>
    <w:rsid w:val="005C53D0"/>
    <w:rsid w:val="005C5B37"/>
    <w:rsid w:val="005C5D89"/>
    <w:rsid w:val="005C5F97"/>
    <w:rsid w:val="005C769C"/>
    <w:rsid w:val="005D01ED"/>
    <w:rsid w:val="005D0DBD"/>
    <w:rsid w:val="005D1E26"/>
    <w:rsid w:val="005D25F9"/>
    <w:rsid w:val="005D334F"/>
    <w:rsid w:val="005D4502"/>
    <w:rsid w:val="005D66CA"/>
    <w:rsid w:val="005D6BBB"/>
    <w:rsid w:val="005D6E33"/>
    <w:rsid w:val="005D78D3"/>
    <w:rsid w:val="005D7FA2"/>
    <w:rsid w:val="005E02BC"/>
    <w:rsid w:val="005E1C0E"/>
    <w:rsid w:val="005E2500"/>
    <w:rsid w:val="005E5290"/>
    <w:rsid w:val="005E5EB2"/>
    <w:rsid w:val="005E6E52"/>
    <w:rsid w:val="005E7380"/>
    <w:rsid w:val="005E740A"/>
    <w:rsid w:val="005E7629"/>
    <w:rsid w:val="005F1580"/>
    <w:rsid w:val="005F25D5"/>
    <w:rsid w:val="005F2786"/>
    <w:rsid w:val="005F2796"/>
    <w:rsid w:val="005F3191"/>
    <w:rsid w:val="005F3ED8"/>
    <w:rsid w:val="005F4125"/>
    <w:rsid w:val="005F4D9F"/>
    <w:rsid w:val="005F5218"/>
    <w:rsid w:val="005F5688"/>
    <w:rsid w:val="005F5AAA"/>
    <w:rsid w:val="005F6155"/>
    <w:rsid w:val="005F6B57"/>
    <w:rsid w:val="00602631"/>
    <w:rsid w:val="00602C33"/>
    <w:rsid w:val="00602ED7"/>
    <w:rsid w:val="00603018"/>
    <w:rsid w:val="006045D8"/>
    <w:rsid w:val="00604742"/>
    <w:rsid w:val="00605A73"/>
    <w:rsid w:val="00606A56"/>
    <w:rsid w:val="00607E3F"/>
    <w:rsid w:val="006127C9"/>
    <w:rsid w:val="00612C97"/>
    <w:rsid w:val="00612F4A"/>
    <w:rsid w:val="0061305D"/>
    <w:rsid w:val="00615D6B"/>
    <w:rsid w:val="006167C0"/>
    <w:rsid w:val="00616B91"/>
    <w:rsid w:val="00620D56"/>
    <w:rsid w:val="00622D6F"/>
    <w:rsid w:val="00623621"/>
    <w:rsid w:val="006241C4"/>
    <w:rsid w:val="00626136"/>
    <w:rsid w:val="0062628F"/>
    <w:rsid w:val="006264CA"/>
    <w:rsid w:val="00626C6B"/>
    <w:rsid w:val="00630FE0"/>
    <w:rsid w:val="00631945"/>
    <w:rsid w:val="00631ABF"/>
    <w:rsid w:val="0063368B"/>
    <w:rsid w:val="00633A60"/>
    <w:rsid w:val="00634C55"/>
    <w:rsid w:val="00636AA8"/>
    <w:rsid w:val="00637273"/>
    <w:rsid w:val="0064117E"/>
    <w:rsid w:val="00641E22"/>
    <w:rsid w:val="00641E8B"/>
    <w:rsid w:val="006433B1"/>
    <w:rsid w:val="00645EF7"/>
    <w:rsid w:val="0064666E"/>
    <w:rsid w:val="00646A80"/>
    <w:rsid w:val="00646C86"/>
    <w:rsid w:val="006477F2"/>
    <w:rsid w:val="00647ACA"/>
    <w:rsid w:val="00647D6D"/>
    <w:rsid w:val="006516E8"/>
    <w:rsid w:val="006520AB"/>
    <w:rsid w:val="00652B57"/>
    <w:rsid w:val="00652B84"/>
    <w:rsid w:val="00652D01"/>
    <w:rsid w:val="00652FA1"/>
    <w:rsid w:val="00653339"/>
    <w:rsid w:val="006538EB"/>
    <w:rsid w:val="006539F5"/>
    <w:rsid w:val="00655B49"/>
    <w:rsid w:val="00656AA6"/>
    <w:rsid w:val="00656ED7"/>
    <w:rsid w:val="0065709B"/>
    <w:rsid w:val="006573DE"/>
    <w:rsid w:val="00657675"/>
    <w:rsid w:val="00657A57"/>
    <w:rsid w:val="00657BEF"/>
    <w:rsid w:val="00660648"/>
    <w:rsid w:val="0066117E"/>
    <w:rsid w:val="00661265"/>
    <w:rsid w:val="00661835"/>
    <w:rsid w:val="006622CD"/>
    <w:rsid w:val="00663C4D"/>
    <w:rsid w:val="006646E5"/>
    <w:rsid w:val="00664FFF"/>
    <w:rsid w:val="0066567D"/>
    <w:rsid w:val="00666516"/>
    <w:rsid w:val="006665F9"/>
    <w:rsid w:val="00666F84"/>
    <w:rsid w:val="00670124"/>
    <w:rsid w:val="00670F2A"/>
    <w:rsid w:val="0067100B"/>
    <w:rsid w:val="00671348"/>
    <w:rsid w:val="006718A6"/>
    <w:rsid w:val="006719DE"/>
    <w:rsid w:val="00672EDF"/>
    <w:rsid w:val="0067349A"/>
    <w:rsid w:val="00673E00"/>
    <w:rsid w:val="00674045"/>
    <w:rsid w:val="0067420D"/>
    <w:rsid w:val="00675DA4"/>
    <w:rsid w:val="0067609F"/>
    <w:rsid w:val="00676B4E"/>
    <w:rsid w:val="00676B9C"/>
    <w:rsid w:val="00677504"/>
    <w:rsid w:val="00680D87"/>
    <w:rsid w:val="00681D83"/>
    <w:rsid w:val="00682087"/>
    <w:rsid w:val="006821D7"/>
    <w:rsid w:val="00682966"/>
    <w:rsid w:val="00682981"/>
    <w:rsid w:val="00683807"/>
    <w:rsid w:val="0068646A"/>
    <w:rsid w:val="00686F16"/>
    <w:rsid w:val="006900C2"/>
    <w:rsid w:val="0069041B"/>
    <w:rsid w:val="00690789"/>
    <w:rsid w:val="00690ADE"/>
    <w:rsid w:val="00691CAB"/>
    <w:rsid w:val="006925C0"/>
    <w:rsid w:val="0069309B"/>
    <w:rsid w:val="00693593"/>
    <w:rsid w:val="00694550"/>
    <w:rsid w:val="006947FC"/>
    <w:rsid w:val="00694C27"/>
    <w:rsid w:val="00695280"/>
    <w:rsid w:val="00695B94"/>
    <w:rsid w:val="00696CCE"/>
    <w:rsid w:val="006A2769"/>
    <w:rsid w:val="006A385B"/>
    <w:rsid w:val="006A44E6"/>
    <w:rsid w:val="006A463E"/>
    <w:rsid w:val="006A4820"/>
    <w:rsid w:val="006A485B"/>
    <w:rsid w:val="006A54B2"/>
    <w:rsid w:val="006A5E8D"/>
    <w:rsid w:val="006A6207"/>
    <w:rsid w:val="006A687E"/>
    <w:rsid w:val="006A7195"/>
    <w:rsid w:val="006A7E75"/>
    <w:rsid w:val="006B2B6D"/>
    <w:rsid w:val="006B30A9"/>
    <w:rsid w:val="006B3C8E"/>
    <w:rsid w:val="006B47EE"/>
    <w:rsid w:val="006B4D67"/>
    <w:rsid w:val="006B6151"/>
    <w:rsid w:val="006B6590"/>
    <w:rsid w:val="006B7447"/>
    <w:rsid w:val="006B77B1"/>
    <w:rsid w:val="006C193B"/>
    <w:rsid w:val="006C1B44"/>
    <w:rsid w:val="006C3022"/>
    <w:rsid w:val="006C3195"/>
    <w:rsid w:val="006C3512"/>
    <w:rsid w:val="006C395D"/>
    <w:rsid w:val="006C49A1"/>
    <w:rsid w:val="006C4C5E"/>
    <w:rsid w:val="006C6655"/>
    <w:rsid w:val="006C69B6"/>
    <w:rsid w:val="006D0118"/>
    <w:rsid w:val="006D13D9"/>
    <w:rsid w:val="006D1C13"/>
    <w:rsid w:val="006D23C5"/>
    <w:rsid w:val="006D267E"/>
    <w:rsid w:val="006D39B1"/>
    <w:rsid w:val="006D5DD5"/>
    <w:rsid w:val="006D6005"/>
    <w:rsid w:val="006D6BFA"/>
    <w:rsid w:val="006D6C4A"/>
    <w:rsid w:val="006E042C"/>
    <w:rsid w:val="006E0649"/>
    <w:rsid w:val="006E123B"/>
    <w:rsid w:val="006E166B"/>
    <w:rsid w:val="006E1AA7"/>
    <w:rsid w:val="006E2907"/>
    <w:rsid w:val="006E2ED1"/>
    <w:rsid w:val="006E3061"/>
    <w:rsid w:val="006E3249"/>
    <w:rsid w:val="006E42F8"/>
    <w:rsid w:val="006E5A7B"/>
    <w:rsid w:val="006E72DB"/>
    <w:rsid w:val="006E778F"/>
    <w:rsid w:val="006E77C1"/>
    <w:rsid w:val="006F00AE"/>
    <w:rsid w:val="006F09E6"/>
    <w:rsid w:val="006F0A47"/>
    <w:rsid w:val="006F0A6E"/>
    <w:rsid w:val="006F0C31"/>
    <w:rsid w:val="006F201B"/>
    <w:rsid w:val="006F3B97"/>
    <w:rsid w:val="006F4996"/>
    <w:rsid w:val="006F51A1"/>
    <w:rsid w:val="006F6DDE"/>
    <w:rsid w:val="006F7531"/>
    <w:rsid w:val="007002C3"/>
    <w:rsid w:val="0070039D"/>
    <w:rsid w:val="00700467"/>
    <w:rsid w:val="007008EE"/>
    <w:rsid w:val="0070139A"/>
    <w:rsid w:val="007022B8"/>
    <w:rsid w:val="0070267E"/>
    <w:rsid w:val="007038F8"/>
    <w:rsid w:val="007039F8"/>
    <w:rsid w:val="007048F6"/>
    <w:rsid w:val="007049A9"/>
    <w:rsid w:val="00706508"/>
    <w:rsid w:val="00706856"/>
    <w:rsid w:val="00706E32"/>
    <w:rsid w:val="00706FEC"/>
    <w:rsid w:val="00707232"/>
    <w:rsid w:val="00707801"/>
    <w:rsid w:val="00707D75"/>
    <w:rsid w:val="00707E33"/>
    <w:rsid w:val="00710CEA"/>
    <w:rsid w:val="0071180A"/>
    <w:rsid w:val="00711E3B"/>
    <w:rsid w:val="00712117"/>
    <w:rsid w:val="0071346B"/>
    <w:rsid w:val="00714AD2"/>
    <w:rsid w:val="0071631C"/>
    <w:rsid w:val="007171A8"/>
    <w:rsid w:val="00717864"/>
    <w:rsid w:val="0072014B"/>
    <w:rsid w:val="00720406"/>
    <w:rsid w:val="00720570"/>
    <w:rsid w:val="0072338F"/>
    <w:rsid w:val="0072500E"/>
    <w:rsid w:val="007250BA"/>
    <w:rsid w:val="007253D8"/>
    <w:rsid w:val="007255D4"/>
    <w:rsid w:val="00725872"/>
    <w:rsid w:val="0072619A"/>
    <w:rsid w:val="00726905"/>
    <w:rsid w:val="00731B94"/>
    <w:rsid w:val="00732B4E"/>
    <w:rsid w:val="00732FBF"/>
    <w:rsid w:val="00733037"/>
    <w:rsid w:val="0073333B"/>
    <w:rsid w:val="007346EE"/>
    <w:rsid w:val="00734B90"/>
    <w:rsid w:val="00734CFD"/>
    <w:rsid w:val="00734FD1"/>
    <w:rsid w:val="0073507D"/>
    <w:rsid w:val="007355AF"/>
    <w:rsid w:val="0073588C"/>
    <w:rsid w:val="0073606A"/>
    <w:rsid w:val="0073629B"/>
    <w:rsid w:val="00736453"/>
    <w:rsid w:val="007367D0"/>
    <w:rsid w:val="00736D9C"/>
    <w:rsid w:val="0073727D"/>
    <w:rsid w:val="00737537"/>
    <w:rsid w:val="007379D0"/>
    <w:rsid w:val="00741550"/>
    <w:rsid w:val="00741ADE"/>
    <w:rsid w:val="00741C55"/>
    <w:rsid w:val="007422DB"/>
    <w:rsid w:val="00743CBE"/>
    <w:rsid w:val="00743FB2"/>
    <w:rsid w:val="00744464"/>
    <w:rsid w:val="00745C22"/>
    <w:rsid w:val="0074639C"/>
    <w:rsid w:val="00746AAD"/>
    <w:rsid w:val="00746C4E"/>
    <w:rsid w:val="0074707F"/>
    <w:rsid w:val="007471CE"/>
    <w:rsid w:val="0074731C"/>
    <w:rsid w:val="00747634"/>
    <w:rsid w:val="0074781D"/>
    <w:rsid w:val="00747F96"/>
    <w:rsid w:val="00750617"/>
    <w:rsid w:val="0075115E"/>
    <w:rsid w:val="00751790"/>
    <w:rsid w:val="007526BC"/>
    <w:rsid w:val="00753B87"/>
    <w:rsid w:val="00753DC2"/>
    <w:rsid w:val="00754649"/>
    <w:rsid w:val="007546AF"/>
    <w:rsid w:val="00754ECB"/>
    <w:rsid w:val="00755B25"/>
    <w:rsid w:val="007564C6"/>
    <w:rsid w:val="00757355"/>
    <w:rsid w:val="00760575"/>
    <w:rsid w:val="00760BC4"/>
    <w:rsid w:val="007612F9"/>
    <w:rsid w:val="00761B87"/>
    <w:rsid w:val="00762E37"/>
    <w:rsid w:val="00763CB1"/>
    <w:rsid w:val="0076425A"/>
    <w:rsid w:val="00765934"/>
    <w:rsid w:val="00767C67"/>
    <w:rsid w:val="00770E42"/>
    <w:rsid w:val="00772E1D"/>
    <w:rsid w:val="00773A99"/>
    <w:rsid w:val="0077451B"/>
    <w:rsid w:val="00774B6A"/>
    <w:rsid w:val="00775C1A"/>
    <w:rsid w:val="00775D19"/>
    <w:rsid w:val="00777137"/>
    <w:rsid w:val="00777C19"/>
    <w:rsid w:val="00777EAD"/>
    <w:rsid w:val="0078034C"/>
    <w:rsid w:val="0078233F"/>
    <w:rsid w:val="00782B63"/>
    <w:rsid w:val="007830AC"/>
    <w:rsid w:val="007832E8"/>
    <w:rsid w:val="00784E46"/>
    <w:rsid w:val="0078545F"/>
    <w:rsid w:val="0078563B"/>
    <w:rsid w:val="00785B4A"/>
    <w:rsid w:val="00786678"/>
    <w:rsid w:val="007867DD"/>
    <w:rsid w:val="00786A7C"/>
    <w:rsid w:val="0079063F"/>
    <w:rsid w:val="0079073C"/>
    <w:rsid w:val="0079125A"/>
    <w:rsid w:val="007917AD"/>
    <w:rsid w:val="007921D9"/>
    <w:rsid w:val="00792F96"/>
    <w:rsid w:val="0079304A"/>
    <w:rsid w:val="007933A8"/>
    <w:rsid w:val="00793B38"/>
    <w:rsid w:val="007940A7"/>
    <w:rsid w:val="0079441F"/>
    <w:rsid w:val="00795451"/>
    <w:rsid w:val="00795503"/>
    <w:rsid w:val="00795C12"/>
    <w:rsid w:val="00795EB5"/>
    <w:rsid w:val="00796350"/>
    <w:rsid w:val="007965F3"/>
    <w:rsid w:val="0079757E"/>
    <w:rsid w:val="0079777A"/>
    <w:rsid w:val="007979B6"/>
    <w:rsid w:val="007A0791"/>
    <w:rsid w:val="007A09BF"/>
    <w:rsid w:val="007A0EF3"/>
    <w:rsid w:val="007A0F25"/>
    <w:rsid w:val="007A19A7"/>
    <w:rsid w:val="007A2075"/>
    <w:rsid w:val="007A210C"/>
    <w:rsid w:val="007A226E"/>
    <w:rsid w:val="007A385F"/>
    <w:rsid w:val="007A4055"/>
    <w:rsid w:val="007A4C2D"/>
    <w:rsid w:val="007A4D53"/>
    <w:rsid w:val="007A5314"/>
    <w:rsid w:val="007A66F2"/>
    <w:rsid w:val="007A71BF"/>
    <w:rsid w:val="007A76AB"/>
    <w:rsid w:val="007A7D0E"/>
    <w:rsid w:val="007B1FE6"/>
    <w:rsid w:val="007B2D9E"/>
    <w:rsid w:val="007B36E7"/>
    <w:rsid w:val="007B3934"/>
    <w:rsid w:val="007B3F67"/>
    <w:rsid w:val="007B4658"/>
    <w:rsid w:val="007B5263"/>
    <w:rsid w:val="007B541E"/>
    <w:rsid w:val="007B6EFB"/>
    <w:rsid w:val="007B7C7C"/>
    <w:rsid w:val="007C01F7"/>
    <w:rsid w:val="007C0484"/>
    <w:rsid w:val="007C04FB"/>
    <w:rsid w:val="007C0552"/>
    <w:rsid w:val="007C10AA"/>
    <w:rsid w:val="007C16C9"/>
    <w:rsid w:val="007C18BE"/>
    <w:rsid w:val="007C22E2"/>
    <w:rsid w:val="007C2614"/>
    <w:rsid w:val="007C352B"/>
    <w:rsid w:val="007C4070"/>
    <w:rsid w:val="007C4176"/>
    <w:rsid w:val="007C6A3E"/>
    <w:rsid w:val="007C6C71"/>
    <w:rsid w:val="007D026B"/>
    <w:rsid w:val="007D1766"/>
    <w:rsid w:val="007D2FA6"/>
    <w:rsid w:val="007D3764"/>
    <w:rsid w:val="007D71AB"/>
    <w:rsid w:val="007D794D"/>
    <w:rsid w:val="007E0B65"/>
    <w:rsid w:val="007E2199"/>
    <w:rsid w:val="007E2AA2"/>
    <w:rsid w:val="007E2CA0"/>
    <w:rsid w:val="007E373C"/>
    <w:rsid w:val="007E3CB6"/>
    <w:rsid w:val="007E639B"/>
    <w:rsid w:val="007E6A4E"/>
    <w:rsid w:val="007E7BFC"/>
    <w:rsid w:val="007F0B6C"/>
    <w:rsid w:val="007F0E15"/>
    <w:rsid w:val="007F1641"/>
    <w:rsid w:val="007F3F02"/>
    <w:rsid w:val="007F4AA6"/>
    <w:rsid w:val="007F4ED8"/>
    <w:rsid w:val="007F6C9F"/>
    <w:rsid w:val="007F6D00"/>
    <w:rsid w:val="008002CE"/>
    <w:rsid w:val="008003E0"/>
    <w:rsid w:val="0080213C"/>
    <w:rsid w:val="00802727"/>
    <w:rsid w:val="00802E65"/>
    <w:rsid w:val="00803356"/>
    <w:rsid w:val="008034D3"/>
    <w:rsid w:val="008039C7"/>
    <w:rsid w:val="00804242"/>
    <w:rsid w:val="0080485E"/>
    <w:rsid w:val="00804F58"/>
    <w:rsid w:val="00804FF4"/>
    <w:rsid w:val="00805DD2"/>
    <w:rsid w:val="00806254"/>
    <w:rsid w:val="00806341"/>
    <w:rsid w:val="00806DEC"/>
    <w:rsid w:val="00806F14"/>
    <w:rsid w:val="0081118B"/>
    <w:rsid w:val="00811246"/>
    <w:rsid w:val="00811976"/>
    <w:rsid w:val="00811A7C"/>
    <w:rsid w:val="008126B5"/>
    <w:rsid w:val="00812772"/>
    <w:rsid w:val="0081308C"/>
    <w:rsid w:val="0081320D"/>
    <w:rsid w:val="008150D3"/>
    <w:rsid w:val="0081565A"/>
    <w:rsid w:val="0082194B"/>
    <w:rsid w:val="0082275E"/>
    <w:rsid w:val="00823972"/>
    <w:rsid w:val="00824E71"/>
    <w:rsid w:val="00825C68"/>
    <w:rsid w:val="00826619"/>
    <w:rsid w:val="008270AD"/>
    <w:rsid w:val="00827411"/>
    <w:rsid w:val="00827C4B"/>
    <w:rsid w:val="0083198E"/>
    <w:rsid w:val="00832C59"/>
    <w:rsid w:val="008332E7"/>
    <w:rsid w:val="00833F41"/>
    <w:rsid w:val="00834C1E"/>
    <w:rsid w:val="00834C85"/>
    <w:rsid w:val="00834CAB"/>
    <w:rsid w:val="00836161"/>
    <w:rsid w:val="00836BF9"/>
    <w:rsid w:val="0084007D"/>
    <w:rsid w:val="00841581"/>
    <w:rsid w:val="00842015"/>
    <w:rsid w:val="00845525"/>
    <w:rsid w:val="00846BB4"/>
    <w:rsid w:val="00846D50"/>
    <w:rsid w:val="0085254C"/>
    <w:rsid w:val="00852970"/>
    <w:rsid w:val="008533A2"/>
    <w:rsid w:val="008534CB"/>
    <w:rsid w:val="00854AD0"/>
    <w:rsid w:val="008557BC"/>
    <w:rsid w:val="00856438"/>
    <w:rsid w:val="008565C8"/>
    <w:rsid w:val="00856645"/>
    <w:rsid w:val="00856A65"/>
    <w:rsid w:val="00856B6B"/>
    <w:rsid w:val="00856BAE"/>
    <w:rsid w:val="00856C4B"/>
    <w:rsid w:val="00857F38"/>
    <w:rsid w:val="00861708"/>
    <w:rsid w:val="0086233F"/>
    <w:rsid w:val="00862BBB"/>
    <w:rsid w:val="00862BC1"/>
    <w:rsid w:val="00862C2A"/>
    <w:rsid w:val="0086476D"/>
    <w:rsid w:val="00864DC2"/>
    <w:rsid w:val="0086739D"/>
    <w:rsid w:val="008675A0"/>
    <w:rsid w:val="00867933"/>
    <w:rsid w:val="00870C5F"/>
    <w:rsid w:val="008717E5"/>
    <w:rsid w:val="00871F46"/>
    <w:rsid w:val="008738A0"/>
    <w:rsid w:val="00875ED9"/>
    <w:rsid w:val="0087739A"/>
    <w:rsid w:val="008777D7"/>
    <w:rsid w:val="0088052E"/>
    <w:rsid w:val="00880A8B"/>
    <w:rsid w:val="00881023"/>
    <w:rsid w:val="0088187A"/>
    <w:rsid w:val="00882EE3"/>
    <w:rsid w:val="0088398C"/>
    <w:rsid w:val="00883A1A"/>
    <w:rsid w:val="00884246"/>
    <w:rsid w:val="008842FD"/>
    <w:rsid w:val="00884559"/>
    <w:rsid w:val="00884CBE"/>
    <w:rsid w:val="00885AAF"/>
    <w:rsid w:val="00885CAF"/>
    <w:rsid w:val="008861E4"/>
    <w:rsid w:val="00890212"/>
    <w:rsid w:val="00891272"/>
    <w:rsid w:val="00892D08"/>
    <w:rsid w:val="0089367A"/>
    <w:rsid w:val="00893791"/>
    <w:rsid w:val="008951BA"/>
    <w:rsid w:val="00895816"/>
    <w:rsid w:val="00896893"/>
    <w:rsid w:val="00897281"/>
    <w:rsid w:val="008A039A"/>
    <w:rsid w:val="008A0913"/>
    <w:rsid w:val="008A0E04"/>
    <w:rsid w:val="008A180D"/>
    <w:rsid w:val="008A18D2"/>
    <w:rsid w:val="008A2227"/>
    <w:rsid w:val="008A2451"/>
    <w:rsid w:val="008A35B0"/>
    <w:rsid w:val="008A3A58"/>
    <w:rsid w:val="008A4AD0"/>
    <w:rsid w:val="008A5609"/>
    <w:rsid w:val="008A593D"/>
    <w:rsid w:val="008A7AFD"/>
    <w:rsid w:val="008A7F46"/>
    <w:rsid w:val="008B05F5"/>
    <w:rsid w:val="008B0DB1"/>
    <w:rsid w:val="008B114E"/>
    <w:rsid w:val="008B1706"/>
    <w:rsid w:val="008B186C"/>
    <w:rsid w:val="008B272D"/>
    <w:rsid w:val="008B2EFC"/>
    <w:rsid w:val="008B338D"/>
    <w:rsid w:val="008B3B95"/>
    <w:rsid w:val="008B4146"/>
    <w:rsid w:val="008B41DA"/>
    <w:rsid w:val="008B4E69"/>
    <w:rsid w:val="008B4FC4"/>
    <w:rsid w:val="008B5E0D"/>
    <w:rsid w:val="008B6D81"/>
    <w:rsid w:val="008B6E56"/>
    <w:rsid w:val="008C0B5E"/>
    <w:rsid w:val="008C0BBA"/>
    <w:rsid w:val="008C10CC"/>
    <w:rsid w:val="008C1762"/>
    <w:rsid w:val="008C43FF"/>
    <w:rsid w:val="008C5202"/>
    <w:rsid w:val="008C5489"/>
    <w:rsid w:val="008C61A0"/>
    <w:rsid w:val="008C6887"/>
    <w:rsid w:val="008C7A49"/>
    <w:rsid w:val="008D11A7"/>
    <w:rsid w:val="008D28A4"/>
    <w:rsid w:val="008D29D1"/>
    <w:rsid w:val="008D2A10"/>
    <w:rsid w:val="008D350B"/>
    <w:rsid w:val="008D3F19"/>
    <w:rsid w:val="008D449F"/>
    <w:rsid w:val="008D6148"/>
    <w:rsid w:val="008D6ECD"/>
    <w:rsid w:val="008D6F6D"/>
    <w:rsid w:val="008D70B1"/>
    <w:rsid w:val="008E124A"/>
    <w:rsid w:val="008E23F5"/>
    <w:rsid w:val="008E2BE1"/>
    <w:rsid w:val="008E3295"/>
    <w:rsid w:val="008E54BA"/>
    <w:rsid w:val="008E59E9"/>
    <w:rsid w:val="008E5A6D"/>
    <w:rsid w:val="008E7FD1"/>
    <w:rsid w:val="008F0793"/>
    <w:rsid w:val="008F0B49"/>
    <w:rsid w:val="008F0E4B"/>
    <w:rsid w:val="008F124D"/>
    <w:rsid w:val="008F13B7"/>
    <w:rsid w:val="008F249B"/>
    <w:rsid w:val="008F260E"/>
    <w:rsid w:val="008F32DF"/>
    <w:rsid w:val="008F48AC"/>
    <w:rsid w:val="008F4D20"/>
    <w:rsid w:val="008F649D"/>
    <w:rsid w:val="008F669B"/>
    <w:rsid w:val="008F7167"/>
    <w:rsid w:val="008F7F02"/>
    <w:rsid w:val="0090064F"/>
    <w:rsid w:val="00901EAC"/>
    <w:rsid w:val="00902CAB"/>
    <w:rsid w:val="009030AA"/>
    <w:rsid w:val="009042A7"/>
    <w:rsid w:val="0090493F"/>
    <w:rsid w:val="00904BB6"/>
    <w:rsid w:val="00904C9A"/>
    <w:rsid w:val="00905541"/>
    <w:rsid w:val="00906453"/>
    <w:rsid w:val="00906C72"/>
    <w:rsid w:val="00906E7D"/>
    <w:rsid w:val="00906EF9"/>
    <w:rsid w:val="0090771D"/>
    <w:rsid w:val="0091108A"/>
    <w:rsid w:val="00912766"/>
    <w:rsid w:val="009127C6"/>
    <w:rsid w:val="00912986"/>
    <w:rsid w:val="00913274"/>
    <w:rsid w:val="00913D17"/>
    <w:rsid w:val="00914046"/>
    <w:rsid w:val="0091600D"/>
    <w:rsid w:val="009160C5"/>
    <w:rsid w:val="009164AC"/>
    <w:rsid w:val="009164ED"/>
    <w:rsid w:val="009167BA"/>
    <w:rsid w:val="00916936"/>
    <w:rsid w:val="0091758C"/>
    <w:rsid w:val="00920AFE"/>
    <w:rsid w:val="00920E8B"/>
    <w:rsid w:val="00921927"/>
    <w:rsid w:val="00921F2E"/>
    <w:rsid w:val="00921F81"/>
    <w:rsid w:val="00922978"/>
    <w:rsid w:val="009257DC"/>
    <w:rsid w:val="00925FFE"/>
    <w:rsid w:val="00926284"/>
    <w:rsid w:val="009266F8"/>
    <w:rsid w:val="009275B5"/>
    <w:rsid w:val="00930F05"/>
    <w:rsid w:val="00930F38"/>
    <w:rsid w:val="00931AFC"/>
    <w:rsid w:val="00931D96"/>
    <w:rsid w:val="00933961"/>
    <w:rsid w:val="00935587"/>
    <w:rsid w:val="00935A03"/>
    <w:rsid w:val="00935D82"/>
    <w:rsid w:val="009374B0"/>
    <w:rsid w:val="009375C6"/>
    <w:rsid w:val="00940442"/>
    <w:rsid w:val="009412A9"/>
    <w:rsid w:val="0094184F"/>
    <w:rsid w:val="00943C66"/>
    <w:rsid w:val="00944677"/>
    <w:rsid w:val="009455A8"/>
    <w:rsid w:val="00945C2B"/>
    <w:rsid w:val="009471B5"/>
    <w:rsid w:val="0094757D"/>
    <w:rsid w:val="00947C09"/>
    <w:rsid w:val="009500BC"/>
    <w:rsid w:val="009508CE"/>
    <w:rsid w:val="00950A77"/>
    <w:rsid w:val="0095180F"/>
    <w:rsid w:val="00951A5C"/>
    <w:rsid w:val="00951B25"/>
    <w:rsid w:val="00952CA5"/>
    <w:rsid w:val="0095304C"/>
    <w:rsid w:val="00953109"/>
    <w:rsid w:val="00953FB6"/>
    <w:rsid w:val="009547FF"/>
    <w:rsid w:val="00956F91"/>
    <w:rsid w:val="00957925"/>
    <w:rsid w:val="00957D78"/>
    <w:rsid w:val="00957DA4"/>
    <w:rsid w:val="0096071D"/>
    <w:rsid w:val="00960C32"/>
    <w:rsid w:val="00961565"/>
    <w:rsid w:val="00961B56"/>
    <w:rsid w:val="00961E88"/>
    <w:rsid w:val="00963846"/>
    <w:rsid w:val="00964A0E"/>
    <w:rsid w:val="00964D2A"/>
    <w:rsid w:val="009650F7"/>
    <w:rsid w:val="00965B37"/>
    <w:rsid w:val="00966260"/>
    <w:rsid w:val="00967083"/>
    <w:rsid w:val="00967549"/>
    <w:rsid w:val="00967711"/>
    <w:rsid w:val="00967717"/>
    <w:rsid w:val="00970995"/>
    <w:rsid w:val="00970DE9"/>
    <w:rsid w:val="00970E2A"/>
    <w:rsid w:val="0097119D"/>
    <w:rsid w:val="00971912"/>
    <w:rsid w:val="0097286D"/>
    <w:rsid w:val="009737E4"/>
    <w:rsid w:val="0097495E"/>
    <w:rsid w:val="00974BD2"/>
    <w:rsid w:val="00974E6E"/>
    <w:rsid w:val="00974FED"/>
    <w:rsid w:val="00976C3A"/>
    <w:rsid w:val="00976F21"/>
    <w:rsid w:val="00977F20"/>
    <w:rsid w:val="009811B7"/>
    <w:rsid w:val="0098133C"/>
    <w:rsid w:val="009824C4"/>
    <w:rsid w:val="00983B74"/>
    <w:rsid w:val="0098497D"/>
    <w:rsid w:val="00984A52"/>
    <w:rsid w:val="00984F71"/>
    <w:rsid w:val="00986478"/>
    <w:rsid w:val="0098673A"/>
    <w:rsid w:val="00987452"/>
    <w:rsid w:val="00990263"/>
    <w:rsid w:val="00990DAF"/>
    <w:rsid w:val="00991136"/>
    <w:rsid w:val="00991EE8"/>
    <w:rsid w:val="00992004"/>
    <w:rsid w:val="00993DE2"/>
    <w:rsid w:val="00993E1A"/>
    <w:rsid w:val="00994201"/>
    <w:rsid w:val="00994303"/>
    <w:rsid w:val="0099485E"/>
    <w:rsid w:val="00994E00"/>
    <w:rsid w:val="00995A5E"/>
    <w:rsid w:val="009961F4"/>
    <w:rsid w:val="009963C6"/>
    <w:rsid w:val="0099659E"/>
    <w:rsid w:val="009967B6"/>
    <w:rsid w:val="00997A6E"/>
    <w:rsid w:val="009A0D23"/>
    <w:rsid w:val="009A184B"/>
    <w:rsid w:val="009A2DE4"/>
    <w:rsid w:val="009A4CCC"/>
    <w:rsid w:val="009A5D0F"/>
    <w:rsid w:val="009A7000"/>
    <w:rsid w:val="009A7385"/>
    <w:rsid w:val="009A78DD"/>
    <w:rsid w:val="009A7940"/>
    <w:rsid w:val="009B0722"/>
    <w:rsid w:val="009B1632"/>
    <w:rsid w:val="009B193C"/>
    <w:rsid w:val="009B1DF0"/>
    <w:rsid w:val="009B38AF"/>
    <w:rsid w:val="009B4A5A"/>
    <w:rsid w:val="009B4A87"/>
    <w:rsid w:val="009B50B4"/>
    <w:rsid w:val="009B5AFF"/>
    <w:rsid w:val="009B5B60"/>
    <w:rsid w:val="009B61B6"/>
    <w:rsid w:val="009B6736"/>
    <w:rsid w:val="009B6FBB"/>
    <w:rsid w:val="009B71E8"/>
    <w:rsid w:val="009C008E"/>
    <w:rsid w:val="009C0346"/>
    <w:rsid w:val="009C12B4"/>
    <w:rsid w:val="009C13AA"/>
    <w:rsid w:val="009C14A3"/>
    <w:rsid w:val="009C1A35"/>
    <w:rsid w:val="009C33C1"/>
    <w:rsid w:val="009C33EE"/>
    <w:rsid w:val="009C3490"/>
    <w:rsid w:val="009C47A0"/>
    <w:rsid w:val="009C5118"/>
    <w:rsid w:val="009D0530"/>
    <w:rsid w:val="009D06DB"/>
    <w:rsid w:val="009D1D93"/>
    <w:rsid w:val="009D1E80"/>
    <w:rsid w:val="009D2CF8"/>
    <w:rsid w:val="009D368B"/>
    <w:rsid w:val="009D498D"/>
    <w:rsid w:val="009D5720"/>
    <w:rsid w:val="009D6308"/>
    <w:rsid w:val="009D677D"/>
    <w:rsid w:val="009D6CC9"/>
    <w:rsid w:val="009D70DB"/>
    <w:rsid w:val="009E0632"/>
    <w:rsid w:val="009E1155"/>
    <w:rsid w:val="009E2BD3"/>
    <w:rsid w:val="009E2FD5"/>
    <w:rsid w:val="009E3AE5"/>
    <w:rsid w:val="009E4B94"/>
    <w:rsid w:val="009E6E7E"/>
    <w:rsid w:val="009F01D3"/>
    <w:rsid w:val="009F0AC4"/>
    <w:rsid w:val="009F0FA5"/>
    <w:rsid w:val="009F1104"/>
    <w:rsid w:val="009F1CEB"/>
    <w:rsid w:val="009F2B37"/>
    <w:rsid w:val="009F527A"/>
    <w:rsid w:val="009F5EB0"/>
    <w:rsid w:val="009F66E8"/>
    <w:rsid w:val="009F6E14"/>
    <w:rsid w:val="009F736F"/>
    <w:rsid w:val="009F73B9"/>
    <w:rsid w:val="00A0247B"/>
    <w:rsid w:val="00A04372"/>
    <w:rsid w:val="00A04984"/>
    <w:rsid w:val="00A049CD"/>
    <w:rsid w:val="00A04A85"/>
    <w:rsid w:val="00A0568E"/>
    <w:rsid w:val="00A063E5"/>
    <w:rsid w:val="00A076C9"/>
    <w:rsid w:val="00A107C1"/>
    <w:rsid w:val="00A11303"/>
    <w:rsid w:val="00A11D67"/>
    <w:rsid w:val="00A125F7"/>
    <w:rsid w:val="00A14173"/>
    <w:rsid w:val="00A14BA9"/>
    <w:rsid w:val="00A1549B"/>
    <w:rsid w:val="00A16353"/>
    <w:rsid w:val="00A20090"/>
    <w:rsid w:val="00A219FA"/>
    <w:rsid w:val="00A21D1B"/>
    <w:rsid w:val="00A2310E"/>
    <w:rsid w:val="00A24DDF"/>
    <w:rsid w:val="00A25B5C"/>
    <w:rsid w:val="00A26045"/>
    <w:rsid w:val="00A26689"/>
    <w:rsid w:val="00A2682B"/>
    <w:rsid w:val="00A27F18"/>
    <w:rsid w:val="00A31098"/>
    <w:rsid w:val="00A31FA5"/>
    <w:rsid w:val="00A32CFC"/>
    <w:rsid w:val="00A32D54"/>
    <w:rsid w:val="00A32D6B"/>
    <w:rsid w:val="00A33470"/>
    <w:rsid w:val="00A35464"/>
    <w:rsid w:val="00A3641B"/>
    <w:rsid w:val="00A37182"/>
    <w:rsid w:val="00A37653"/>
    <w:rsid w:val="00A37A8E"/>
    <w:rsid w:val="00A409F8"/>
    <w:rsid w:val="00A419EE"/>
    <w:rsid w:val="00A427F4"/>
    <w:rsid w:val="00A42D88"/>
    <w:rsid w:val="00A42E64"/>
    <w:rsid w:val="00A432A8"/>
    <w:rsid w:val="00A43770"/>
    <w:rsid w:val="00A439F3"/>
    <w:rsid w:val="00A44833"/>
    <w:rsid w:val="00A454F1"/>
    <w:rsid w:val="00A45D63"/>
    <w:rsid w:val="00A4610F"/>
    <w:rsid w:val="00A46B63"/>
    <w:rsid w:val="00A47BD0"/>
    <w:rsid w:val="00A5007B"/>
    <w:rsid w:val="00A50496"/>
    <w:rsid w:val="00A51EFD"/>
    <w:rsid w:val="00A5297E"/>
    <w:rsid w:val="00A534E6"/>
    <w:rsid w:val="00A539FB"/>
    <w:rsid w:val="00A53D55"/>
    <w:rsid w:val="00A53E22"/>
    <w:rsid w:val="00A541F8"/>
    <w:rsid w:val="00A54628"/>
    <w:rsid w:val="00A54A57"/>
    <w:rsid w:val="00A556F1"/>
    <w:rsid w:val="00A55B0D"/>
    <w:rsid w:val="00A56FB7"/>
    <w:rsid w:val="00A577C5"/>
    <w:rsid w:val="00A57E02"/>
    <w:rsid w:val="00A602FB"/>
    <w:rsid w:val="00A60334"/>
    <w:rsid w:val="00A614A7"/>
    <w:rsid w:val="00A63196"/>
    <w:rsid w:val="00A63200"/>
    <w:rsid w:val="00A6371C"/>
    <w:rsid w:val="00A64D9D"/>
    <w:rsid w:val="00A651C9"/>
    <w:rsid w:val="00A654B6"/>
    <w:rsid w:val="00A65A29"/>
    <w:rsid w:val="00A65BBE"/>
    <w:rsid w:val="00A6655E"/>
    <w:rsid w:val="00A66D1B"/>
    <w:rsid w:val="00A66DEE"/>
    <w:rsid w:val="00A70255"/>
    <w:rsid w:val="00A70867"/>
    <w:rsid w:val="00A70A56"/>
    <w:rsid w:val="00A71A56"/>
    <w:rsid w:val="00A72427"/>
    <w:rsid w:val="00A730C5"/>
    <w:rsid w:val="00A73518"/>
    <w:rsid w:val="00A73930"/>
    <w:rsid w:val="00A73A7F"/>
    <w:rsid w:val="00A7464C"/>
    <w:rsid w:val="00A74ADC"/>
    <w:rsid w:val="00A753FE"/>
    <w:rsid w:val="00A756A2"/>
    <w:rsid w:val="00A75FA4"/>
    <w:rsid w:val="00A80759"/>
    <w:rsid w:val="00A80937"/>
    <w:rsid w:val="00A8162A"/>
    <w:rsid w:val="00A81C3C"/>
    <w:rsid w:val="00A821D4"/>
    <w:rsid w:val="00A83589"/>
    <w:rsid w:val="00A852BA"/>
    <w:rsid w:val="00A860DC"/>
    <w:rsid w:val="00A86DC6"/>
    <w:rsid w:val="00A86E6F"/>
    <w:rsid w:val="00A86E7A"/>
    <w:rsid w:val="00A873D9"/>
    <w:rsid w:val="00A87954"/>
    <w:rsid w:val="00A90452"/>
    <w:rsid w:val="00A91086"/>
    <w:rsid w:val="00A91767"/>
    <w:rsid w:val="00A91DA5"/>
    <w:rsid w:val="00A91E31"/>
    <w:rsid w:val="00A93BDC"/>
    <w:rsid w:val="00A9417F"/>
    <w:rsid w:val="00A94FBE"/>
    <w:rsid w:val="00A950AD"/>
    <w:rsid w:val="00AA0441"/>
    <w:rsid w:val="00AA23F4"/>
    <w:rsid w:val="00AA2BCD"/>
    <w:rsid w:val="00AA3165"/>
    <w:rsid w:val="00AA3A80"/>
    <w:rsid w:val="00AA4891"/>
    <w:rsid w:val="00AA498A"/>
    <w:rsid w:val="00AA525E"/>
    <w:rsid w:val="00AA5415"/>
    <w:rsid w:val="00AA547F"/>
    <w:rsid w:val="00AA6A78"/>
    <w:rsid w:val="00AA6EF3"/>
    <w:rsid w:val="00AA6EF9"/>
    <w:rsid w:val="00AA7418"/>
    <w:rsid w:val="00AA748B"/>
    <w:rsid w:val="00AA7A1A"/>
    <w:rsid w:val="00AA7C79"/>
    <w:rsid w:val="00AB0388"/>
    <w:rsid w:val="00AB08E7"/>
    <w:rsid w:val="00AB130D"/>
    <w:rsid w:val="00AB14F1"/>
    <w:rsid w:val="00AB1531"/>
    <w:rsid w:val="00AB1FC7"/>
    <w:rsid w:val="00AB2226"/>
    <w:rsid w:val="00AB222A"/>
    <w:rsid w:val="00AB275F"/>
    <w:rsid w:val="00AB2A08"/>
    <w:rsid w:val="00AB323E"/>
    <w:rsid w:val="00AB3A0D"/>
    <w:rsid w:val="00AB3A42"/>
    <w:rsid w:val="00AB3BAC"/>
    <w:rsid w:val="00AB4582"/>
    <w:rsid w:val="00AB486E"/>
    <w:rsid w:val="00AB4A29"/>
    <w:rsid w:val="00AB58BB"/>
    <w:rsid w:val="00AB61C9"/>
    <w:rsid w:val="00AB6651"/>
    <w:rsid w:val="00AB6808"/>
    <w:rsid w:val="00AB69CA"/>
    <w:rsid w:val="00AB6B7E"/>
    <w:rsid w:val="00AB70E3"/>
    <w:rsid w:val="00AB7A6E"/>
    <w:rsid w:val="00AC02E8"/>
    <w:rsid w:val="00AC0ECE"/>
    <w:rsid w:val="00AC1AC3"/>
    <w:rsid w:val="00AC27C1"/>
    <w:rsid w:val="00AC338B"/>
    <w:rsid w:val="00AC386C"/>
    <w:rsid w:val="00AC3CAE"/>
    <w:rsid w:val="00AC4668"/>
    <w:rsid w:val="00AC5DBD"/>
    <w:rsid w:val="00AC6450"/>
    <w:rsid w:val="00AC6EF8"/>
    <w:rsid w:val="00AC70CD"/>
    <w:rsid w:val="00AC7FE0"/>
    <w:rsid w:val="00AD0A6D"/>
    <w:rsid w:val="00AD1476"/>
    <w:rsid w:val="00AD1BA7"/>
    <w:rsid w:val="00AD275B"/>
    <w:rsid w:val="00AD27DE"/>
    <w:rsid w:val="00AD2C56"/>
    <w:rsid w:val="00AD2FE8"/>
    <w:rsid w:val="00AD385B"/>
    <w:rsid w:val="00AD3E97"/>
    <w:rsid w:val="00AD472B"/>
    <w:rsid w:val="00AD481D"/>
    <w:rsid w:val="00AD4B6C"/>
    <w:rsid w:val="00AD4F28"/>
    <w:rsid w:val="00AD58AF"/>
    <w:rsid w:val="00AD5F89"/>
    <w:rsid w:val="00AD77DB"/>
    <w:rsid w:val="00AE0C84"/>
    <w:rsid w:val="00AE1726"/>
    <w:rsid w:val="00AE1ED3"/>
    <w:rsid w:val="00AE2483"/>
    <w:rsid w:val="00AE24BE"/>
    <w:rsid w:val="00AE2BB1"/>
    <w:rsid w:val="00AE2D2B"/>
    <w:rsid w:val="00AE3903"/>
    <w:rsid w:val="00AE42CA"/>
    <w:rsid w:val="00AE4990"/>
    <w:rsid w:val="00AE49C6"/>
    <w:rsid w:val="00AE53B3"/>
    <w:rsid w:val="00AE5768"/>
    <w:rsid w:val="00AE7AA6"/>
    <w:rsid w:val="00AE7DF0"/>
    <w:rsid w:val="00AF0063"/>
    <w:rsid w:val="00AF0776"/>
    <w:rsid w:val="00AF1701"/>
    <w:rsid w:val="00AF170E"/>
    <w:rsid w:val="00AF1A18"/>
    <w:rsid w:val="00AF1D02"/>
    <w:rsid w:val="00AF210D"/>
    <w:rsid w:val="00AF2B4B"/>
    <w:rsid w:val="00AF34C8"/>
    <w:rsid w:val="00AF34D8"/>
    <w:rsid w:val="00AF4777"/>
    <w:rsid w:val="00AF4E4F"/>
    <w:rsid w:val="00AF58B4"/>
    <w:rsid w:val="00AF5B14"/>
    <w:rsid w:val="00AF7529"/>
    <w:rsid w:val="00B00452"/>
    <w:rsid w:val="00B005BB"/>
    <w:rsid w:val="00B00665"/>
    <w:rsid w:val="00B00D92"/>
    <w:rsid w:val="00B00FFE"/>
    <w:rsid w:val="00B014BD"/>
    <w:rsid w:val="00B0161D"/>
    <w:rsid w:val="00B016C1"/>
    <w:rsid w:val="00B024D4"/>
    <w:rsid w:val="00B024E6"/>
    <w:rsid w:val="00B03F6F"/>
    <w:rsid w:val="00B0422A"/>
    <w:rsid w:val="00B043EA"/>
    <w:rsid w:val="00B048BD"/>
    <w:rsid w:val="00B04F62"/>
    <w:rsid w:val="00B05E8B"/>
    <w:rsid w:val="00B060EF"/>
    <w:rsid w:val="00B06F8F"/>
    <w:rsid w:val="00B070B9"/>
    <w:rsid w:val="00B072FF"/>
    <w:rsid w:val="00B103FE"/>
    <w:rsid w:val="00B105BE"/>
    <w:rsid w:val="00B107C3"/>
    <w:rsid w:val="00B109B5"/>
    <w:rsid w:val="00B12399"/>
    <w:rsid w:val="00B125D9"/>
    <w:rsid w:val="00B13674"/>
    <w:rsid w:val="00B14550"/>
    <w:rsid w:val="00B14F35"/>
    <w:rsid w:val="00B16AE3"/>
    <w:rsid w:val="00B16B27"/>
    <w:rsid w:val="00B20783"/>
    <w:rsid w:val="00B20D6B"/>
    <w:rsid w:val="00B212E9"/>
    <w:rsid w:val="00B21596"/>
    <w:rsid w:val="00B21803"/>
    <w:rsid w:val="00B222B7"/>
    <w:rsid w:val="00B22A6A"/>
    <w:rsid w:val="00B22F2C"/>
    <w:rsid w:val="00B241AF"/>
    <w:rsid w:val="00B24CF1"/>
    <w:rsid w:val="00B24E70"/>
    <w:rsid w:val="00B24FE8"/>
    <w:rsid w:val="00B24FEB"/>
    <w:rsid w:val="00B25F8A"/>
    <w:rsid w:val="00B301BC"/>
    <w:rsid w:val="00B31E96"/>
    <w:rsid w:val="00B332DB"/>
    <w:rsid w:val="00B339C0"/>
    <w:rsid w:val="00B35E55"/>
    <w:rsid w:val="00B3729E"/>
    <w:rsid w:val="00B37346"/>
    <w:rsid w:val="00B379DF"/>
    <w:rsid w:val="00B40286"/>
    <w:rsid w:val="00B4184B"/>
    <w:rsid w:val="00B42000"/>
    <w:rsid w:val="00B429C2"/>
    <w:rsid w:val="00B42C57"/>
    <w:rsid w:val="00B44036"/>
    <w:rsid w:val="00B44E8B"/>
    <w:rsid w:val="00B45888"/>
    <w:rsid w:val="00B4597A"/>
    <w:rsid w:val="00B45D3F"/>
    <w:rsid w:val="00B46AA5"/>
    <w:rsid w:val="00B502A2"/>
    <w:rsid w:val="00B50794"/>
    <w:rsid w:val="00B50DF6"/>
    <w:rsid w:val="00B51468"/>
    <w:rsid w:val="00B519F0"/>
    <w:rsid w:val="00B521FF"/>
    <w:rsid w:val="00B52A68"/>
    <w:rsid w:val="00B53AB3"/>
    <w:rsid w:val="00B53C56"/>
    <w:rsid w:val="00B5424D"/>
    <w:rsid w:val="00B549CC"/>
    <w:rsid w:val="00B55B9D"/>
    <w:rsid w:val="00B56132"/>
    <w:rsid w:val="00B56177"/>
    <w:rsid w:val="00B56988"/>
    <w:rsid w:val="00B570B7"/>
    <w:rsid w:val="00B57D29"/>
    <w:rsid w:val="00B611AF"/>
    <w:rsid w:val="00B6130F"/>
    <w:rsid w:val="00B613E3"/>
    <w:rsid w:val="00B614BC"/>
    <w:rsid w:val="00B6158E"/>
    <w:rsid w:val="00B62EDC"/>
    <w:rsid w:val="00B63903"/>
    <w:rsid w:val="00B64F39"/>
    <w:rsid w:val="00B65786"/>
    <w:rsid w:val="00B65ED9"/>
    <w:rsid w:val="00B67148"/>
    <w:rsid w:val="00B70FFA"/>
    <w:rsid w:val="00B72104"/>
    <w:rsid w:val="00B72EC3"/>
    <w:rsid w:val="00B73CD0"/>
    <w:rsid w:val="00B762DD"/>
    <w:rsid w:val="00B76C7C"/>
    <w:rsid w:val="00B77131"/>
    <w:rsid w:val="00B77667"/>
    <w:rsid w:val="00B77C38"/>
    <w:rsid w:val="00B819B6"/>
    <w:rsid w:val="00B82163"/>
    <w:rsid w:val="00B83C81"/>
    <w:rsid w:val="00B83CFC"/>
    <w:rsid w:val="00B83F12"/>
    <w:rsid w:val="00B842A7"/>
    <w:rsid w:val="00B86430"/>
    <w:rsid w:val="00B865CB"/>
    <w:rsid w:val="00B8683C"/>
    <w:rsid w:val="00B873F1"/>
    <w:rsid w:val="00B91B1F"/>
    <w:rsid w:val="00B91E16"/>
    <w:rsid w:val="00B921DC"/>
    <w:rsid w:val="00B937E2"/>
    <w:rsid w:val="00B95734"/>
    <w:rsid w:val="00B96E3C"/>
    <w:rsid w:val="00B96F83"/>
    <w:rsid w:val="00B96F8A"/>
    <w:rsid w:val="00B971BC"/>
    <w:rsid w:val="00B972FF"/>
    <w:rsid w:val="00B97712"/>
    <w:rsid w:val="00BA05EB"/>
    <w:rsid w:val="00BA1874"/>
    <w:rsid w:val="00BA1FA3"/>
    <w:rsid w:val="00BA2805"/>
    <w:rsid w:val="00BA2F21"/>
    <w:rsid w:val="00BA32C2"/>
    <w:rsid w:val="00BA3FAA"/>
    <w:rsid w:val="00BA416F"/>
    <w:rsid w:val="00BA64CC"/>
    <w:rsid w:val="00BA68A9"/>
    <w:rsid w:val="00BA695A"/>
    <w:rsid w:val="00BA72AE"/>
    <w:rsid w:val="00BA773C"/>
    <w:rsid w:val="00BB01B1"/>
    <w:rsid w:val="00BB02C1"/>
    <w:rsid w:val="00BB320F"/>
    <w:rsid w:val="00BB372A"/>
    <w:rsid w:val="00BB3873"/>
    <w:rsid w:val="00BB4255"/>
    <w:rsid w:val="00BB4613"/>
    <w:rsid w:val="00BB5A36"/>
    <w:rsid w:val="00BB64C4"/>
    <w:rsid w:val="00BC0359"/>
    <w:rsid w:val="00BC10F8"/>
    <w:rsid w:val="00BC18C5"/>
    <w:rsid w:val="00BC263D"/>
    <w:rsid w:val="00BC2D9E"/>
    <w:rsid w:val="00BC51F6"/>
    <w:rsid w:val="00BC52E7"/>
    <w:rsid w:val="00BC594D"/>
    <w:rsid w:val="00BC5AAE"/>
    <w:rsid w:val="00BC6602"/>
    <w:rsid w:val="00BC6C85"/>
    <w:rsid w:val="00BC6EC7"/>
    <w:rsid w:val="00BC773B"/>
    <w:rsid w:val="00BC7E96"/>
    <w:rsid w:val="00BD005B"/>
    <w:rsid w:val="00BD0428"/>
    <w:rsid w:val="00BD0506"/>
    <w:rsid w:val="00BD0B57"/>
    <w:rsid w:val="00BD12F4"/>
    <w:rsid w:val="00BD1B12"/>
    <w:rsid w:val="00BD2577"/>
    <w:rsid w:val="00BD3195"/>
    <w:rsid w:val="00BD323F"/>
    <w:rsid w:val="00BD4955"/>
    <w:rsid w:val="00BD5AA3"/>
    <w:rsid w:val="00BD5AF4"/>
    <w:rsid w:val="00BD6476"/>
    <w:rsid w:val="00BD65D3"/>
    <w:rsid w:val="00BD6656"/>
    <w:rsid w:val="00BD69AA"/>
    <w:rsid w:val="00BD74F6"/>
    <w:rsid w:val="00BD78CA"/>
    <w:rsid w:val="00BD7C21"/>
    <w:rsid w:val="00BE0CDE"/>
    <w:rsid w:val="00BE168F"/>
    <w:rsid w:val="00BE2186"/>
    <w:rsid w:val="00BE5C07"/>
    <w:rsid w:val="00BE72D3"/>
    <w:rsid w:val="00BE735D"/>
    <w:rsid w:val="00BF1BE1"/>
    <w:rsid w:val="00BF2C71"/>
    <w:rsid w:val="00BF40D4"/>
    <w:rsid w:val="00BF41DE"/>
    <w:rsid w:val="00BF5D26"/>
    <w:rsid w:val="00BF644A"/>
    <w:rsid w:val="00BF65C3"/>
    <w:rsid w:val="00C00FEA"/>
    <w:rsid w:val="00C01CBB"/>
    <w:rsid w:val="00C02471"/>
    <w:rsid w:val="00C02E78"/>
    <w:rsid w:val="00C033D1"/>
    <w:rsid w:val="00C04800"/>
    <w:rsid w:val="00C04A08"/>
    <w:rsid w:val="00C05EBE"/>
    <w:rsid w:val="00C06865"/>
    <w:rsid w:val="00C0725B"/>
    <w:rsid w:val="00C07BA2"/>
    <w:rsid w:val="00C10676"/>
    <w:rsid w:val="00C10D09"/>
    <w:rsid w:val="00C10E78"/>
    <w:rsid w:val="00C11326"/>
    <w:rsid w:val="00C114B3"/>
    <w:rsid w:val="00C116F7"/>
    <w:rsid w:val="00C12151"/>
    <w:rsid w:val="00C121F3"/>
    <w:rsid w:val="00C13D9C"/>
    <w:rsid w:val="00C14419"/>
    <w:rsid w:val="00C1459D"/>
    <w:rsid w:val="00C14EAA"/>
    <w:rsid w:val="00C151A3"/>
    <w:rsid w:val="00C154CA"/>
    <w:rsid w:val="00C159A8"/>
    <w:rsid w:val="00C16483"/>
    <w:rsid w:val="00C20AD5"/>
    <w:rsid w:val="00C20FDF"/>
    <w:rsid w:val="00C21513"/>
    <w:rsid w:val="00C22F36"/>
    <w:rsid w:val="00C23FC8"/>
    <w:rsid w:val="00C24385"/>
    <w:rsid w:val="00C24FC1"/>
    <w:rsid w:val="00C25252"/>
    <w:rsid w:val="00C25DDC"/>
    <w:rsid w:val="00C26805"/>
    <w:rsid w:val="00C26FED"/>
    <w:rsid w:val="00C30864"/>
    <w:rsid w:val="00C325E0"/>
    <w:rsid w:val="00C32FEA"/>
    <w:rsid w:val="00C34FF9"/>
    <w:rsid w:val="00C357AF"/>
    <w:rsid w:val="00C357EF"/>
    <w:rsid w:val="00C35F6C"/>
    <w:rsid w:val="00C375E6"/>
    <w:rsid w:val="00C37A35"/>
    <w:rsid w:val="00C4045F"/>
    <w:rsid w:val="00C40823"/>
    <w:rsid w:val="00C40CFA"/>
    <w:rsid w:val="00C40D79"/>
    <w:rsid w:val="00C439CB"/>
    <w:rsid w:val="00C448D9"/>
    <w:rsid w:val="00C46B3C"/>
    <w:rsid w:val="00C517E3"/>
    <w:rsid w:val="00C52065"/>
    <w:rsid w:val="00C52532"/>
    <w:rsid w:val="00C52564"/>
    <w:rsid w:val="00C532C2"/>
    <w:rsid w:val="00C53511"/>
    <w:rsid w:val="00C53D51"/>
    <w:rsid w:val="00C54008"/>
    <w:rsid w:val="00C545AE"/>
    <w:rsid w:val="00C550F2"/>
    <w:rsid w:val="00C601E6"/>
    <w:rsid w:val="00C60589"/>
    <w:rsid w:val="00C60C16"/>
    <w:rsid w:val="00C60C8D"/>
    <w:rsid w:val="00C62CC8"/>
    <w:rsid w:val="00C63778"/>
    <w:rsid w:val="00C63A75"/>
    <w:rsid w:val="00C63EA6"/>
    <w:rsid w:val="00C640BB"/>
    <w:rsid w:val="00C650FB"/>
    <w:rsid w:val="00C65771"/>
    <w:rsid w:val="00C65B44"/>
    <w:rsid w:val="00C66095"/>
    <w:rsid w:val="00C66768"/>
    <w:rsid w:val="00C66DD0"/>
    <w:rsid w:val="00C67AAC"/>
    <w:rsid w:val="00C705D1"/>
    <w:rsid w:val="00C707BF"/>
    <w:rsid w:val="00C716FF"/>
    <w:rsid w:val="00C7259B"/>
    <w:rsid w:val="00C736BF"/>
    <w:rsid w:val="00C74156"/>
    <w:rsid w:val="00C745C8"/>
    <w:rsid w:val="00C74EB1"/>
    <w:rsid w:val="00C7560D"/>
    <w:rsid w:val="00C75A84"/>
    <w:rsid w:val="00C75EED"/>
    <w:rsid w:val="00C75FE4"/>
    <w:rsid w:val="00C7605D"/>
    <w:rsid w:val="00C76BD3"/>
    <w:rsid w:val="00C77BE4"/>
    <w:rsid w:val="00C77F2B"/>
    <w:rsid w:val="00C80CD4"/>
    <w:rsid w:val="00C81599"/>
    <w:rsid w:val="00C81EE8"/>
    <w:rsid w:val="00C8214D"/>
    <w:rsid w:val="00C82469"/>
    <w:rsid w:val="00C82CD8"/>
    <w:rsid w:val="00C82D0D"/>
    <w:rsid w:val="00C83C91"/>
    <w:rsid w:val="00C84F93"/>
    <w:rsid w:val="00C8591B"/>
    <w:rsid w:val="00C85B45"/>
    <w:rsid w:val="00C87006"/>
    <w:rsid w:val="00C908BB"/>
    <w:rsid w:val="00C918E0"/>
    <w:rsid w:val="00C91FB5"/>
    <w:rsid w:val="00C925BF"/>
    <w:rsid w:val="00C92FD6"/>
    <w:rsid w:val="00C93CF0"/>
    <w:rsid w:val="00C93EAD"/>
    <w:rsid w:val="00C95C56"/>
    <w:rsid w:val="00C965A9"/>
    <w:rsid w:val="00C96FA9"/>
    <w:rsid w:val="00C976E7"/>
    <w:rsid w:val="00CA0183"/>
    <w:rsid w:val="00CA0A7D"/>
    <w:rsid w:val="00CA0BA5"/>
    <w:rsid w:val="00CA1A09"/>
    <w:rsid w:val="00CA1AEE"/>
    <w:rsid w:val="00CA3F6D"/>
    <w:rsid w:val="00CA5CE1"/>
    <w:rsid w:val="00CB02F3"/>
    <w:rsid w:val="00CB044C"/>
    <w:rsid w:val="00CB15D3"/>
    <w:rsid w:val="00CB16C9"/>
    <w:rsid w:val="00CB1C3B"/>
    <w:rsid w:val="00CB61E7"/>
    <w:rsid w:val="00CB7BD5"/>
    <w:rsid w:val="00CB7E0B"/>
    <w:rsid w:val="00CC07C5"/>
    <w:rsid w:val="00CC1566"/>
    <w:rsid w:val="00CC1B17"/>
    <w:rsid w:val="00CC1BF2"/>
    <w:rsid w:val="00CC26A6"/>
    <w:rsid w:val="00CC2A82"/>
    <w:rsid w:val="00CC340B"/>
    <w:rsid w:val="00CC39E9"/>
    <w:rsid w:val="00CC4341"/>
    <w:rsid w:val="00CC4920"/>
    <w:rsid w:val="00CC4E27"/>
    <w:rsid w:val="00CC4F23"/>
    <w:rsid w:val="00CC5082"/>
    <w:rsid w:val="00CC6322"/>
    <w:rsid w:val="00CC67D1"/>
    <w:rsid w:val="00CC6B10"/>
    <w:rsid w:val="00CD0586"/>
    <w:rsid w:val="00CD0A54"/>
    <w:rsid w:val="00CD1F4A"/>
    <w:rsid w:val="00CD2913"/>
    <w:rsid w:val="00CD42E7"/>
    <w:rsid w:val="00CD5966"/>
    <w:rsid w:val="00CD611D"/>
    <w:rsid w:val="00CD67AE"/>
    <w:rsid w:val="00CD6C8E"/>
    <w:rsid w:val="00CD7011"/>
    <w:rsid w:val="00CD7741"/>
    <w:rsid w:val="00CE0245"/>
    <w:rsid w:val="00CE0F0E"/>
    <w:rsid w:val="00CE1071"/>
    <w:rsid w:val="00CE14DF"/>
    <w:rsid w:val="00CE1A59"/>
    <w:rsid w:val="00CE1EA7"/>
    <w:rsid w:val="00CE2BD2"/>
    <w:rsid w:val="00CE43A5"/>
    <w:rsid w:val="00CE511E"/>
    <w:rsid w:val="00CE5168"/>
    <w:rsid w:val="00CE548D"/>
    <w:rsid w:val="00CE550B"/>
    <w:rsid w:val="00CE587A"/>
    <w:rsid w:val="00CE6000"/>
    <w:rsid w:val="00CE681E"/>
    <w:rsid w:val="00CE6B83"/>
    <w:rsid w:val="00CE7704"/>
    <w:rsid w:val="00CE7A3E"/>
    <w:rsid w:val="00CF00A5"/>
    <w:rsid w:val="00CF00E4"/>
    <w:rsid w:val="00CF0D5B"/>
    <w:rsid w:val="00CF129A"/>
    <w:rsid w:val="00CF1B3E"/>
    <w:rsid w:val="00CF1D69"/>
    <w:rsid w:val="00CF3391"/>
    <w:rsid w:val="00CF4897"/>
    <w:rsid w:val="00CF4A08"/>
    <w:rsid w:val="00CF52AC"/>
    <w:rsid w:val="00CF55E9"/>
    <w:rsid w:val="00CF69C0"/>
    <w:rsid w:val="00D004CB"/>
    <w:rsid w:val="00D0120C"/>
    <w:rsid w:val="00D02EF5"/>
    <w:rsid w:val="00D03931"/>
    <w:rsid w:val="00D043F2"/>
    <w:rsid w:val="00D04D16"/>
    <w:rsid w:val="00D04E56"/>
    <w:rsid w:val="00D0673A"/>
    <w:rsid w:val="00D07139"/>
    <w:rsid w:val="00D07AC6"/>
    <w:rsid w:val="00D10F6F"/>
    <w:rsid w:val="00D1377A"/>
    <w:rsid w:val="00D161ED"/>
    <w:rsid w:val="00D17437"/>
    <w:rsid w:val="00D176A3"/>
    <w:rsid w:val="00D178FE"/>
    <w:rsid w:val="00D17FB7"/>
    <w:rsid w:val="00D20432"/>
    <w:rsid w:val="00D20711"/>
    <w:rsid w:val="00D20CE7"/>
    <w:rsid w:val="00D20E06"/>
    <w:rsid w:val="00D215A6"/>
    <w:rsid w:val="00D21832"/>
    <w:rsid w:val="00D2251E"/>
    <w:rsid w:val="00D23A3E"/>
    <w:rsid w:val="00D242AE"/>
    <w:rsid w:val="00D25C0D"/>
    <w:rsid w:val="00D26050"/>
    <w:rsid w:val="00D263CD"/>
    <w:rsid w:val="00D2657B"/>
    <w:rsid w:val="00D26AA7"/>
    <w:rsid w:val="00D27D0E"/>
    <w:rsid w:val="00D30A85"/>
    <w:rsid w:val="00D30C11"/>
    <w:rsid w:val="00D30FF0"/>
    <w:rsid w:val="00D31730"/>
    <w:rsid w:val="00D33120"/>
    <w:rsid w:val="00D333DF"/>
    <w:rsid w:val="00D334BD"/>
    <w:rsid w:val="00D338C0"/>
    <w:rsid w:val="00D33A92"/>
    <w:rsid w:val="00D343BE"/>
    <w:rsid w:val="00D34466"/>
    <w:rsid w:val="00D35C90"/>
    <w:rsid w:val="00D36D82"/>
    <w:rsid w:val="00D3752F"/>
    <w:rsid w:val="00D37DA4"/>
    <w:rsid w:val="00D37DAE"/>
    <w:rsid w:val="00D40E13"/>
    <w:rsid w:val="00D40F74"/>
    <w:rsid w:val="00D41348"/>
    <w:rsid w:val="00D429E1"/>
    <w:rsid w:val="00D42F87"/>
    <w:rsid w:val="00D433AA"/>
    <w:rsid w:val="00D44B21"/>
    <w:rsid w:val="00D44FE9"/>
    <w:rsid w:val="00D465CE"/>
    <w:rsid w:val="00D47632"/>
    <w:rsid w:val="00D47C37"/>
    <w:rsid w:val="00D47CCB"/>
    <w:rsid w:val="00D5091C"/>
    <w:rsid w:val="00D518CA"/>
    <w:rsid w:val="00D51ED7"/>
    <w:rsid w:val="00D52452"/>
    <w:rsid w:val="00D52865"/>
    <w:rsid w:val="00D52AB4"/>
    <w:rsid w:val="00D53670"/>
    <w:rsid w:val="00D54717"/>
    <w:rsid w:val="00D55130"/>
    <w:rsid w:val="00D5557C"/>
    <w:rsid w:val="00D5652D"/>
    <w:rsid w:val="00D5653D"/>
    <w:rsid w:val="00D5797F"/>
    <w:rsid w:val="00D6015A"/>
    <w:rsid w:val="00D605B4"/>
    <w:rsid w:val="00D60A57"/>
    <w:rsid w:val="00D60BE3"/>
    <w:rsid w:val="00D6135D"/>
    <w:rsid w:val="00D61B00"/>
    <w:rsid w:val="00D61D37"/>
    <w:rsid w:val="00D62BA5"/>
    <w:rsid w:val="00D644D4"/>
    <w:rsid w:val="00D6492C"/>
    <w:rsid w:val="00D64BCB"/>
    <w:rsid w:val="00D64C48"/>
    <w:rsid w:val="00D64EBE"/>
    <w:rsid w:val="00D66463"/>
    <w:rsid w:val="00D66E4C"/>
    <w:rsid w:val="00D67313"/>
    <w:rsid w:val="00D673A2"/>
    <w:rsid w:val="00D7074E"/>
    <w:rsid w:val="00D70791"/>
    <w:rsid w:val="00D72042"/>
    <w:rsid w:val="00D724BC"/>
    <w:rsid w:val="00D7326A"/>
    <w:rsid w:val="00D73493"/>
    <w:rsid w:val="00D73BA4"/>
    <w:rsid w:val="00D74A20"/>
    <w:rsid w:val="00D74FDF"/>
    <w:rsid w:val="00D81DD2"/>
    <w:rsid w:val="00D852A5"/>
    <w:rsid w:val="00D86BFF"/>
    <w:rsid w:val="00D86EE3"/>
    <w:rsid w:val="00D87AC5"/>
    <w:rsid w:val="00D87C66"/>
    <w:rsid w:val="00D9019F"/>
    <w:rsid w:val="00D91281"/>
    <w:rsid w:val="00D91FAA"/>
    <w:rsid w:val="00D92095"/>
    <w:rsid w:val="00D92506"/>
    <w:rsid w:val="00D929A3"/>
    <w:rsid w:val="00D92AF1"/>
    <w:rsid w:val="00D92CC0"/>
    <w:rsid w:val="00D92EB1"/>
    <w:rsid w:val="00D93E8C"/>
    <w:rsid w:val="00D96050"/>
    <w:rsid w:val="00D96141"/>
    <w:rsid w:val="00D96329"/>
    <w:rsid w:val="00D96C71"/>
    <w:rsid w:val="00DA27AD"/>
    <w:rsid w:val="00DA2D11"/>
    <w:rsid w:val="00DA35FA"/>
    <w:rsid w:val="00DA365D"/>
    <w:rsid w:val="00DA3725"/>
    <w:rsid w:val="00DA64D2"/>
    <w:rsid w:val="00DA6FA2"/>
    <w:rsid w:val="00DA72BD"/>
    <w:rsid w:val="00DA7466"/>
    <w:rsid w:val="00DB2D3C"/>
    <w:rsid w:val="00DB2DF4"/>
    <w:rsid w:val="00DB31AF"/>
    <w:rsid w:val="00DB3B56"/>
    <w:rsid w:val="00DB3E42"/>
    <w:rsid w:val="00DB4BD7"/>
    <w:rsid w:val="00DB4C4E"/>
    <w:rsid w:val="00DB5315"/>
    <w:rsid w:val="00DB5468"/>
    <w:rsid w:val="00DB6D98"/>
    <w:rsid w:val="00DB71C5"/>
    <w:rsid w:val="00DB79D1"/>
    <w:rsid w:val="00DC0285"/>
    <w:rsid w:val="00DC02C7"/>
    <w:rsid w:val="00DC1613"/>
    <w:rsid w:val="00DC1F1F"/>
    <w:rsid w:val="00DC246F"/>
    <w:rsid w:val="00DC264A"/>
    <w:rsid w:val="00DC29A1"/>
    <w:rsid w:val="00DC416D"/>
    <w:rsid w:val="00DC47D7"/>
    <w:rsid w:val="00DC4F35"/>
    <w:rsid w:val="00DC557D"/>
    <w:rsid w:val="00DC57D1"/>
    <w:rsid w:val="00DC602C"/>
    <w:rsid w:val="00DC61BD"/>
    <w:rsid w:val="00DC6752"/>
    <w:rsid w:val="00DC677B"/>
    <w:rsid w:val="00DC6D20"/>
    <w:rsid w:val="00DC70B1"/>
    <w:rsid w:val="00DC74A1"/>
    <w:rsid w:val="00DC755A"/>
    <w:rsid w:val="00DD0C11"/>
    <w:rsid w:val="00DD1282"/>
    <w:rsid w:val="00DD16D1"/>
    <w:rsid w:val="00DD1936"/>
    <w:rsid w:val="00DD3ADD"/>
    <w:rsid w:val="00DD5355"/>
    <w:rsid w:val="00DD578C"/>
    <w:rsid w:val="00DE00A7"/>
    <w:rsid w:val="00DE0A4F"/>
    <w:rsid w:val="00DE136D"/>
    <w:rsid w:val="00DE1AFD"/>
    <w:rsid w:val="00DE2B28"/>
    <w:rsid w:val="00DE2B53"/>
    <w:rsid w:val="00DE3176"/>
    <w:rsid w:val="00DE31C7"/>
    <w:rsid w:val="00DE5002"/>
    <w:rsid w:val="00DE5097"/>
    <w:rsid w:val="00DE54E1"/>
    <w:rsid w:val="00DE6E9C"/>
    <w:rsid w:val="00DE728A"/>
    <w:rsid w:val="00DE756C"/>
    <w:rsid w:val="00DE77EF"/>
    <w:rsid w:val="00DE7C75"/>
    <w:rsid w:val="00DF0F40"/>
    <w:rsid w:val="00DF2069"/>
    <w:rsid w:val="00DF25BC"/>
    <w:rsid w:val="00DF2781"/>
    <w:rsid w:val="00DF27B8"/>
    <w:rsid w:val="00DF2F44"/>
    <w:rsid w:val="00DF372E"/>
    <w:rsid w:val="00DF3853"/>
    <w:rsid w:val="00DF42AD"/>
    <w:rsid w:val="00DF42FA"/>
    <w:rsid w:val="00DF5A5C"/>
    <w:rsid w:val="00DF60A4"/>
    <w:rsid w:val="00DF6C39"/>
    <w:rsid w:val="00DF7EA6"/>
    <w:rsid w:val="00E006D5"/>
    <w:rsid w:val="00E00FF8"/>
    <w:rsid w:val="00E0261C"/>
    <w:rsid w:val="00E02D9E"/>
    <w:rsid w:val="00E03B4B"/>
    <w:rsid w:val="00E045C0"/>
    <w:rsid w:val="00E051E0"/>
    <w:rsid w:val="00E0551D"/>
    <w:rsid w:val="00E05BA7"/>
    <w:rsid w:val="00E05BB7"/>
    <w:rsid w:val="00E07152"/>
    <w:rsid w:val="00E07160"/>
    <w:rsid w:val="00E1009C"/>
    <w:rsid w:val="00E1102F"/>
    <w:rsid w:val="00E11625"/>
    <w:rsid w:val="00E12156"/>
    <w:rsid w:val="00E124E2"/>
    <w:rsid w:val="00E124F7"/>
    <w:rsid w:val="00E126EC"/>
    <w:rsid w:val="00E13139"/>
    <w:rsid w:val="00E139B4"/>
    <w:rsid w:val="00E141B7"/>
    <w:rsid w:val="00E148BE"/>
    <w:rsid w:val="00E1493D"/>
    <w:rsid w:val="00E14E89"/>
    <w:rsid w:val="00E154DA"/>
    <w:rsid w:val="00E15524"/>
    <w:rsid w:val="00E15FB6"/>
    <w:rsid w:val="00E166E6"/>
    <w:rsid w:val="00E179A3"/>
    <w:rsid w:val="00E2035B"/>
    <w:rsid w:val="00E207A8"/>
    <w:rsid w:val="00E21649"/>
    <w:rsid w:val="00E2174C"/>
    <w:rsid w:val="00E21891"/>
    <w:rsid w:val="00E23039"/>
    <w:rsid w:val="00E2354B"/>
    <w:rsid w:val="00E23D20"/>
    <w:rsid w:val="00E23E39"/>
    <w:rsid w:val="00E25092"/>
    <w:rsid w:val="00E25242"/>
    <w:rsid w:val="00E25A76"/>
    <w:rsid w:val="00E27097"/>
    <w:rsid w:val="00E27D75"/>
    <w:rsid w:val="00E27E99"/>
    <w:rsid w:val="00E31009"/>
    <w:rsid w:val="00E32D88"/>
    <w:rsid w:val="00E34DFB"/>
    <w:rsid w:val="00E37702"/>
    <w:rsid w:val="00E37CA5"/>
    <w:rsid w:val="00E37FF5"/>
    <w:rsid w:val="00E421DA"/>
    <w:rsid w:val="00E425E8"/>
    <w:rsid w:val="00E4274D"/>
    <w:rsid w:val="00E43053"/>
    <w:rsid w:val="00E44753"/>
    <w:rsid w:val="00E452A0"/>
    <w:rsid w:val="00E46457"/>
    <w:rsid w:val="00E46FC8"/>
    <w:rsid w:val="00E5121F"/>
    <w:rsid w:val="00E51D95"/>
    <w:rsid w:val="00E5359F"/>
    <w:rsid w:val="00E53EE9"/>
    <w:rsid w:val="00E558A7"/>
    <w:rsid w:val="00E56F73"/>
    <w:rsid w:val="00E57B2D"/>
    <w:rsid w:val="00E600A6"/>
    <w:rsid w:val="00E61397"/>
    <w:rsid w:val="00E61B60"/>
    <w:rsid w:val="00E61BF1"/>
    <w:rsid w:val="00E62201"/>
    <w:rsid w:val="00E6267D"/>
    <w:rsid w:val="00E646EC"/>
    <w:rsid w:val="00E6486C"/>
    <w:rsid w:val="00E64DD0"/>
    <w:rsid w:val="00E65070"/>
    <w:rsid w:val="00E66761"/>
    <w:rsid w:val="00E67B47"/>
    <w:rsid w:val="00E7090A"/>
    <w:rsid w:val="00E7334A"/>
    <w:rsid w:val="00E738A5"/>
    <w:rsid w:val="00E7393B"/>
    <w:rsid w:val="00E754AA"/>
    <w:rsid w:val="00E762DC"/>
    <w:rsid w:val="00E77875"/>
    <w:rsid w:val="00E77DB8"/>
    <w:rsid w:val="00E81150"/>
    <w:rsid w:val="00E8282C"/>
    <w:rsid w:val="00E83CD2"/>
    <w:rsid w:val="00E845CF"/>
    <w:rsid w:val="00E84B78"/>
    <w:rsid w:val="00E84C39"/>
    <w:rsid w:val="00E85464"/>
    <w:rsid w:val="00E85C23"/>
    <w:rsid w:val="00E85CE0"/>
    <w:rsid w:val="00E85F83"/>
    <w:rsid w:val="00E866B3"/>
    <w:rsid w:val="00E86875"/>
    <w:rsid w:val="00E86E8F"/>
    <w:rsid w:val="00E879C3"/>
    <w:rsid w:val="00E87DF1"/>
    <w:rsid w:val="00E87E7E"/>
    <w:rsid w:val="00E925B1"/>
    <w:rsid w:val="00E9297E"/>
    <w:rsid w:val="00E92A69"/>
    <w:rsid w:val="00E92D78"/>
    <w:rsid w:val="00E93331"/>
    <w:rsid w:val="00E95914"/>
    <w:rsid w:val="00E963E9"/>
    <w:rsid w:val="00E969A8"/>
    <w:rsid w:val="00E96D11"/>
    <w:rsid w:val="00EA0C06"/>
    <w:rsid w:val="00EA1783"/>
    <w:rsid w:val="00EA23C8"/>
    <w:rsid w:val="00EA2DA7"/>
    <w:rsid w:val="00EA354A"/>
    <w:rsid w:val="00EA44C2"/>
    <w:rsid w:val="00EA4FC3"/>
    <w:rsid w:val="00EA6184"/>
    <w:rsid w:val="00EA6480"/>
    <w:rsid w:val="00EA6C77"/>
    <w:rsid w:val="00EA7EF4"/>
    <w:rsid w:val="00EB0462"/>
    <w:rsid w:val="00EB07A4"/>
    <w:rsid w:val="00EB0F02"/>
    <w:rsid w:val="00EB1D4E"/>
    <w:rsid w:val="00EB25FA"/>
    <w:rsid w:val="00EB270A"/>
    <w:rsid w:val="00EB2CC6"/>
    <w:rsid w:val="00EB2D1F"/>
    <w:rsid w:val="00EB4DED"/>
    <w:rsid w:val="00EB5668"/>
    <w:rsid w:val="00EB6C29"/>
    <w:rsid w:val="00EB6D1E"/>
    <w:rsid w:val="00EB6F24"/>
    <w:rsid w:val="00EC0433"/>
    <w:rsid w:val="00EC18FD"/>
    <w:rsid w:val="00EC29C6"/>
    <w:rsid w:val="00EC2B83"/>
    <w:rsid w:val="00EC2BDB"/>
    <w:rsid w:val="00EC2DE3"/>
    <w:rsid w:val="00EC3E4A"/>
    <w:rsid w:val="00EC4474"/>
    <w:rsid w:val="00EC711A"/>
    <w:rsid w:val="00EC73A8"/>
    <w:rsid w:val="00EC7CB6"/>
    <w:rsid w:val="00EC7E69"/>
    <w:rsid w:val="00ED054C"/>
    <w:rsid w:val="00ED0ECE"/>
    <w:rsid w:val="00ED0FCB"/>
    <w:rsid w:val="00ED3660"/>
    <w:rsid w:val="00ED38BE"/>
    <w:rsid w:val="00ED3E58"/>
    <w:rsid w:val="00ED3E68"/>
    <w:rsid w:val="00ED63C2"/>
    <w:rsid w:val="00ED6405"/>
    <w:rsid w:val="00ED682D"/>
    <w:rsid w:val="00ED6AB4"/>
    <w:rsid w:val="00ED6EC5"/>
    <w:rsid w:val="00ED7B0B"/>
    <w:rsid w:val="00ED7E33"/>
    <w:rsid w:val="00EE36D5"/>
    <w:rsid w:val="00EE5897"/>
    <w:rsid w:val="00EE668B"/>
    <w:rsid w:val="00EE6C96"/>
    <w:rsid w:val="00EE6D64"/>
    <w:rsid w:val="00EE7131"/>
    <w:rsid w:val="00EE740A"/>
    <w:rsid w:val="00EF04F7"/>
    <w:rsid w:val="00EF0AED"/>
    <w:rsid w:val="00EF0DE2"/>
    <w:rsid w:val="00EF10A8"/>
    <w:rsid w:val="00EF1470"/>
    <w:rsid w:val="00EF152D"/>
    <w:rsid w:val="00EF1534"/>
    <w:rsid w:val="00EF2486"/>
    <w:rsid w:val="00EF2B85"/>
    <w:rsid w:val="00EF4B4E"/>
    <w:rsid w:val="00EF4D1C"/>
    <w:rsid w:val="00EF56E4"/>
    <w:rsid w:val="00EF6085"/>
    <w:rsid w:val="00EF63F4"/>
    <w:rsid w:val="00EF68FF"/>
    <w:rsid w:val="00EF6E00"/>
    <w:rsid w:val="00F0005E"/>
    <w:rsid w:val="00F00D3C"/>
    <w:rsid w:val="00F0128C"/>
    <w:rsid w:val="00F01D66"/>
    <w:rsid w:val="00F02552"/>
    <w:rsid w:val="00F03CB1"/>
    <w:rsid w:val="00F03F7D"/>
    <w:rsid w:val="00F04211"/>
    <w:rsid w:val="00F04788"/>
    <w:rsid w:val="00F0628B"/>
    <w:rsid w:val="00F104F0"/>
    <w:rsid w:val="00F10F69"/>
    <w:rsid w:val="00F124A2"/>
    <w:rsid w:val="00F13201"/>
    <w:rsid w:val="00F1323E"/>
    <w:rsid w:val="00F149AE"/>
    <w:rsid w:val="00F15139"/>
    <w:rsid w:val="00F1521C"/>
    <w:rsid w:val="00F15F4E"/>
    <w:rsid w:val="00F16046"/>
    <w:rsid w:val="00F1634C"/>
    <w:rsid w:val="00F17B89"/>
    <w:rsid w:val="00F20231"/>
    <w:rsid w:val="00F20395"/>
    <w:rsid w:val="00F212A8"/>
    <w:rsid w:val="00F21BC6"/>
    <w:rsid w:val="00F22EE3"/>
    <w:rsid w:val="00F233E7"/>
    <w:rsid w:val="00F2440E"/>
    <w:rsid w:val="00F25FCF"/>
    <w:rsid w:val="00F264CB"/>
    <w:rsid w:val="00F27886"/>
    <w:rsid w:val="00F33908"/>
    <w:rsid w:val="00F360F5"/>
    <w:rsid w:val="00F4072F"/>
    <w:rsid w:val="00F410A1"/>
    <w:rsid w:val="00F4432F"/>
    <w:rsid w:val="00F44C5F"/>
    <w:rsid w:val="00F45F7D"/>
    <w:rsid w:val="00F467B1"/>
    <w:rsid w:val="00F47E06"/>
    <w:rsid w:val="00F50680"/>
    <w:rsid w:val="00F511EA"/>
    <w:rsid w:val="00F51414"/>
    <w:rsid w:val="00F52D2E"/>
    <w:rsid w:val="00F5344C"/>
    <w:rsid w:val="00F544AF"/>
    <w:rsid w:val="00F54A8D"/>
    <w:rsid w:val="00F56189"/>
    <w:rsid w:val="00F56621"/>
    <w:rsid w:val="00F57EF7"/>
    <w:rsid w:val="00F600AB"/>
    <w:rsid w:val="00F60E09"/>
    <w:rsid w:val="00F614F6"/>
    <w:rsid w:val="00F61D4C"/>
    <w:rsid w:val="00F6280A"/>
    <w:rsid w:val="00F62E38"/>
    <w:rsid w:val="00F631B9"/>
    <w:rsid w:val="00F636B1"/>
    <w:rsid w:val="00F63A49"/>
    <w:rsid w:val="00F63AA0"/>
    <w:rsid w:val="00F64C40"/>
    <w:rsid w:val="00F65A82"/>
    <w:rsid w:val="00F65AE9"/>
    <w:rsid w:val="00F65D93"/>
    <w:rsid w:val="00F665A3"/>
    <w:rsid w:val="00F66997"/>
    <w:rsid w:val="00F67DD1"/>
    <w:rsid w:val="00F67E07"/>
    <w:rsid w:val="00F710A5"/>
    <w:rsid w:val="00F72000"/>
    <w:rsid w:val="00F72F04"/>
    <w:rsid w:val="00F73354"/>
    <w:rsid w:val="00F73BA2"/>
    <w:rsid w:val="00F74205"/>
    <w:rsid w:val="00F74219"/>
    <w:rsid w:val="00F755A0"/>
    <w:rsid w:val="00F760ED"/>
    <w:rsid w:val="00F76251"/>
    <w:rsid w:val="00F76332"/>
    <w:rsid w:val="00F763B8"/>
    <w:rsid w:val="00F76663"/>
    <w:rsid w:val="00F766C2"/>
    <w:rsid w:val="00F770B9"/>
    <w:rsid w:val="00F77445"/>
    <w:rsid w:val="00F77499"/>
    <w:rsid w:val="00F77836"/>
    <w:rsid w:val="00F77A13"/>
    <w:rsid w:val="00F77EA7"/>
    <w:rsid w:val="00F80461"/>
    <w:rsid w:val="00F80A80"/>
    <w:rsid w:val="00F80C7A"/>
    <w:rsid w:val="00F820A1"/>
    <w:rsid w:val="00F844F1"/>
    <w:rsid w:val="00F847BC"/>
    <w:rsid w:val="00F86DAC"/>
    <w:rsid w:val="00F87339"/>
    <w:rsid w:val="00F87781"/>
    <w:rsid w:val="00F9080F"/>
    <w:rsid w:val="00F91B0D"/>
    <w:rsid w:val="00F93141"/>
    <w:rsid w:val="00F93602"/>
    <w:rsid w:val="00F93A3E"/>
    <w:rsid w:val="00F945EF"/>
    <w:rsid w:val="00F959B7"/>
    <w:rsid w:val="00F96CE8"/>
    <w:rsid w:val="00F9754B"/>
    <w:rsid w:val="00F97A7C"/>
    <w:rsid w:val="00FA02A6"/>
    <w:rsid w:val="00FA05E2"/>
    <w:rsid w:val="00FA10ED"/>
    <w:rsid w:val="00FA112E"/>
    <w:rsid w:val="00FA1274"/>
    <w:rsid w:val="00FA1343"/>
    <w:rsid w:val="00FA171B"/>
    <w:rsid w:val="00FA1B49"/>
    <w:rsid w:val="00FA30B3"/>
    <w:rsid w:val="00FA373C"/>
    <w:rsid w:val="00FA542C"/>
    <w:rsid w:val="00FA649E"/>
    <w:rsid w:val="00FA6615"/>
    <w:rsid w:val="00FA6BB5"/>
    <w:rsid w:val="00FB00C5"/>
    <w:rsid w:val="00FB09C0"/>
    <w:rsid w:val="00FB119B"/>
    <w:rsid w:val="00FB168C"/>
    <w:rsid w:val="00FB2B91"/>
    <w:rsid w:val="00FB2D7F"/>
    <w:rsid w:val="00FB2DB8"/>
    <w:rsid w:val="00FB41E1"/>
    <w:rsid w:val="00FB4533"/>
    <w:rsid w:val="00FB7317"/>
    <w:rsid w:val="00FC0226"/>
    <w:rsid w:val="00FC02D0"/>
    <w:rsid w:val="00FC0924"/>
    <w:rsid w:val="00FC1101"/>
    <w:rsid w:val="00FC1D35"/>
    <w:rsid w:val="00FC2632"/>
    <w:rsid w:val="00FC26EF"/>
    <w:rsid w:val="00FC27A7"/>
    <w:rsid w:val="00FC2C79"/>
    <w:rsid w:val="00FC2DDF"/>
    <w:rsid w:val="00FC2E48"/>
    <w:rsid w:val="00FC4AD9"/>
    <w:rsid w:val="00FC4DD5"/>
    <w:rsid w:val="00FC53F2"/>
    <w:rsid w:val="00FC53F7"/>
    <w:rsid w:val="00FC5745"/>
    <w:rsid w:val="00FC5BB8"/>
    <w:rsid w:val="00FC61CF"/>
    <w:rsid w:val="00FC7B08"/>
    <w:rsid w:val="00FC7CF0"/>
    <w:rsid w:val="00FD13CC"/>
    <w:rsid w:val="00FD1522"/>
    <w:rsid w:val="00FD2BDC"/>
    <w:rsid w:val="00FD3645"/>
    <w:rsid w:val="00FD3D96"/>
    <w:rsid w:val="00FD40DC"/>
    <w:rsid w:val="00FD4C47"/>
    <w:rsid w:val="00FD5909"/>
    <w:rsid w:val="00FD5D4D"/>
    <w:rsid w:val="00FD62E0"/>
    <w:rsid w:val="00FE0DFD"/>
    <w:rsid w:val="00FE15FD"/>
    <w:rsid w:val="00FE16A0"/>
    <w:rsid w:val="00FE1A03"/>
    <w:rsid w:val="00FE25BA"/>
    <w:rsid w:val="00FE26EC"/>
    <w:rsid w:val="00FE2C9A"/>
    <w:rsid w:val="00FE2C9C"/>
    <w:rsid w:val="00FE32F4"/>
    <w:rsid w:val="00FE331D"/>
    <w:rsid w:val="00FE50A0"/>
    <w:rsid w:val="00FE5175"/>
    <w:rsid w:val="00FE6226"/>
    <w:rsid w:val="00FE6272"/>
    <w:rsid w:val="00FE7490"/>
    <w:rsid w:val="00FF370E"/>
    <w:rsid w:val="00FF4E15"/>
    <w:rsid w:val="00FF536C"/>
    <w:rsid w:val="00FF582A"/>
    <w:rsid w:val="00FF62BE"/>
    <w:rsid w:val="00FF62DB"/>
    <w:rsid w:val="00FF78A3"/>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14:docId w14:val="472A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Theme="minorHAnsi" w:hAnsi="Century Schoolbook" w:cs="Verdana"/>
        <w:lang w:val="da-DK" w:eastAsia="en-US" w:bidi="ar-SA"/>
      </w:rPr>
    </w:rPrDefault>
    <w:pPrDefault>
      <w:pPr>
        <w:spacing w:line="31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lsdException w:name="heading 7" w:semiHidden="1" w:uiPriority="9" w:unhideWhenUsed="1"/>
    <w:lsdException w:name="heading 8" w:semiHidden="1" w:uiPriority="9" w:unhideWhenUsed="1"/>
    <w:lsdException w:name="heading 9" w:semiHidden="1" w:uiPriority="10"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21" w:unhideWhenUsed="1"/>
    <w:lsdException w:name="annotation text" w:semiHidden="1"/>
    <w:lsdException w:name="header" w:semiHidden="1" w:uiPriority="21" w:unhideWhenUsed="1"/>
    <w:lsdException w:name="footer" w:semiHidden="1" w:uiPriority="21" w:unhideWhenUsed="1"/>
    <w:lsdException w:name="index heading" w:semiHidden="1"/>
    <w:lsdException w:name="caption" w:semiHidden="1" w:uiPriority="6" w:unhideWhenUsed="1"/>
    <w:lsdException w:name="table of figures" w:semiHidden="1" w:uiPriority="10" w:unhideWhenUsed="1"/>
    <w:lsdException w:name="envelope address" w:semiHidden="1"/>
    <w:lsdException w:name="envelope return" w:semiHidden="1"/>
    <w:lsdException w:name="footnote reference" w:semiHidden="1" w:uiPriority="21"/>
    <w:lsdException w:name="annotation reference" w:semiHidden="1"/>
    <w:lsdException w:name="line number" w:semiHidden="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lsdException w:name="toa heading" w:semiHidden="1" w:uiPriority="39" w:unhideWhenUsed="1"/>
    <w:lsdException w:name="List" w:semiHidden="1"/>
    <w:lsdException w:name="List Bullet" w:semiHidden="1" w:uiPriority="2" w:unhideWhenUsed="1"/>
    <w:lsdException w:name="List Number" w:uiPriority="2"/>
    <w:lsdException w:name="List 2" w:semiHidden="1"/>
    <w:lsdException w:name="List 3" w:semiHidden="1"/>
    <w:lsdException w:name="List 4" w:semiHidden="1"/>
    <w:lsdException w:name="List 5" w:semiHidden="1"/>
    <w:lsdException w:name="List Bullet 2" w:semiHidden="1" w:uiPriority="2"/>
    <w:lsdException w:name="List Bullet 3" w:semiHidden="1" w:uiPriority="2"/>
    <w:lsdException w:name="List Bullet 4" w:semiHidden="1" w:uiPriority="2"/>
    <w:lsdException w:name="List Bullet 5" w:semiHidden="1" w:uiPriority="2"/>
    <w:lsdException w:name="List Number 2" w:semiHidden="1" w:uiPriority="2"/>
    <w:lsdException w:name="List Number 3" w:semiHidden="1" w:uiPriority="2"/>
    <w:lsdException w:name="List Number 4" w:semiHidden="1" w:uiPriority="2"/>
    <w:lsdException w:name="List Number 5" w:semiHidden="1" w:uiPriority="2"/>
    <w:lsdException w:name="Title" w:uiPriority="1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9"/>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semiHidden="1" w:uiPriority="2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
    <w:lsdException w:name="Intense Quote" w:uiPriority="1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73C"/>
  </w:style>
  <w:style w:type="paragraph" w:styleId="Overskrift1">
    <w:name w:val="heading 1"/>
    <w:basedOn w:val="Normal"/>
    <w:next w:val="Normal"/>
    <w:link w:val="Overskrift1Tegn"/>
    <w:qFormat/>
    <w:rsid w:val="00BC594D"/>
    <w:pPr>
      <w:keepNext/>
      <w:numPr>
        <w:numId w:val="13"/>
      </w:numPr>
      <w:overflowPunct w:val="0"/>
      <w:autoSpaceDE w:val="0"/>
      <w:autoSpaceDN w:val="0"/>
      <w:adjustRightInd w:val="0"/>
      <w:spacing w:after="300"/>
      <w:textAlignment w:val="baseline"/>
      <w:outlineLvl w:val="0"/>
    </w:pPr>
    <w:rPr>
      <w:rFonts w:eastAsia="Times New Roman" w:cs="Times New Roman"/>
      <w:b/>
      <w:bCs/>
      <w:caps/>
    </w:rPr>
  </w:style>
  <w:style w:type="paragraph" w:styleId="Overskrift2">
    <w:name w:val="heading 2"/>
    <w:basedOn w:val="Normal"/>
    <w:next w:val="Normal"/>
    <w:link w:val="Overskrift2Tegn"/>
    <w:qFormat/>
    <w:rsid w:val="00BC594D"/>
    <w:pPr>
      <w:keepNext/>
      <w:numPr>
        <w:ilvl w:val="1"/>
        <w:numId w:val="13"/>
      </w:numPr>
      <w:overflowPunct w:val="0"/>
      <w:autoSpaceDE w:val="0"/>
      <w:autoSpaceDN w:val="0"/>
      <w:adjustRightInd w:val="0"/>
      <w:spacing w:after="300"/>
      <w:textAlignment w:val="baseline"/>
      <w:outlineLvl w:val="1"/>
    </w:pPr>
    <w:rPr>
      <w:rFonts w:eastAsia="Times New Roman" w:cs="Times New Roman"/>
      <w:b/>
      <w:iCs/>
      <w:szCs w:val="28"/>
    </w:rPr>
  </w:style>
  <w:style w:type="paragraph" w:styleId="Overskrift3">
    <w:name w:val="heading 3"/>
    <w:basedOn w:val="Normal"/>
    <w:next w:val="Normal"/>
    <w:link w:val="Overskrift3Tegn"/>
    <w:qFormat/>
    <w:rsid w:val="00BC594D"/>
    <w:pPr>
      <w:keepNext/>
      <w:numPr>
        <w:ilvl w:val="2"/>
        <w:numId w:val="13"/>
      </w:numPr>
      <w:overflowPunct w:val="0"/>
      <w:autoSpaceDE w:val="0"/>
      <w:autoSpaceDN w:val="0"/>
      <w:adjustRightInd w:val="0"/>
      <w:spacing w:after="300"/>
      <w:ind w:left="992"/>
      <w:textAlignment w:val="baseline"/>
      <w:outlineLvl w:val="2"/>
    </w:pPr>
    <w:rPr>
      <w:rFonts w:eastAsia="Times New Roman" w:cs="Times New Roman"/>
      <w:b/>
      <w:i/>
      <w:szCs w:val="26"/>
    </w:rPr>
  </w:style>
  <w:style w:type="paragraph" w:styleId="Overskrift4">
    <w:name w:val="heading 4"/>
    <w:basedOn w:val="Normal"/>
    <w:next w:val="Normal"/>
    <w:link w:val="Overskrift4Tegn"/>
    <w:qFormat/>
    <w:rsid w:val="00BC594D"/>
    <w:pPr>
      <w:keepNext/>
      <w:numPr>
        <w:ilvl w:val="3"/>
        <w:numId w:val="13"/>
      </w:numPr>
      <w:overflowPunct w:val="0"/>
      <w:autoSpaceDE w:val="0"/>
      <w:autoSpaceDN w:val="0"/>
      <w:adjustRightInd w:val="0"/>
      <w:spacing w:after="300"/>
      <w:textAlignment w:val="baseline"/>
      <w:outlineLvl w:val="3"/>
    </w:pPr>
    <w:rPr>
      <w:rFonts w:eastAsia="Times New Roman" w:cs="Times New Roman"/>
      <w:bCs/>
      <w:i/>
      <w:szCs w:val="28"/>
    </w:rPr>
  </w:style>
  <w:style w:type="paragraph" w:styleId="Overskrift5">
    <w:name w:val="heading 5"/>
    <w:basedOn w:val="Overskrift1"/>
    <w:next w:val="Normal"/>
    <w:link w:val="Overskrift5Tegn"/>
    <w:uiPriority w:val="9"/>
    <w:qFormat/>
    <w:rsid w:val="00BC594D"/>
    <w:pPr>
      <w:numPr>
        <w:numId w:val="0"/>
      </w:numPr>
      <w:outlineLvl w:val="4"/>
    </w:pPr>
    <w:rPr>
      <w:bCs w:val="0"/>
      <w:iCs/>
      <w:szCs w:val="26"/>
    </w:rPr>
  </w:style>
  <w:style w:type="paragraph" w:styleId="Overskrift6">
    <w:name w:val="heading 6"/>
    <w:basedOn w:val="Overskrift2"/>
    <w:next w:val="Normal"/>
    <w:link w:val="Overskrift6Tegn"/>
    <w:uiPriority w:val="9"/>
    <w:rsid w:val="00BC594D"/>
    <w:pPr>
      <w:numPr>
        <w:ilvl w:val="0"/>
        <w:numId w:val="0"/>
      </w:numPr>
      <w:tabs>
        <w:tab w:val="left" w:pos="709"/>
      </w:tabs>
      <w:outlineLvl w:val="5"/>
    </w:pPr>
    <w:rPr>
      <w:bCs/>
      <w:szCs w:val="22"/>
    </w:rPr>
  </w:style>
  <w:style w:type="paragraph" w:styleId="Overskrift7">
    <w:name w:val="heading 7"/>
    <w:basedOn w:val="Overskrift3"/>
    <w:next w:val="Normal"/>
    <w:link w:val="Overskrift7Tegn"/>
    <w:uiPriority w:val="9"/>
    <w:rsid w:val="00BC594D"/>
    <w:pPr>
      <w:numPr>
        <w:ilvl w:val="0"/>
        <w:numId w:val="0"/>
      </w:numPr>
      <w:tabs>
        <w:tab w:val="left" w:pos="851"/>
      </w:tabs>
      <w:outlineLvl w:val="6"/>
    </w:pPr>
    <w:rPr>
      <w:szCs w:val="24"/>
    </w:rPr>
  </w:style>
  <w:style w:type="paragraph" w:styleId="Overskrift8">
    <w:name w:val="heading 8"/>
    <w:basedOn w:val="Overskrift4"/>
    <w:next w:val="Normal"/>
    <w:link w:val="Overskrift8Tegn"/>
    <w:uiPriority w:val="9"/>
    <w:rsid w:val="00BC594D"/>
    <w:pPr>
      <w:numPr>
        <w:ilvl w:val="0"/>
        <w:numId w:val="0"/>
      </w:numPr>
      <w:tabs>
        <w:tab w:val="left" w:pos="992"/>
      </w:tabs>
      <w:outlineLvl w:val="7"/>
    </w:pPr>
    <w:rPr>
      <w:iCs/>
      <w:szCs w:val="24"/>
    </w:rPr>
  </w:style>
  <w:style w:type="paragraph" w:styleId="Overskrift9">
    <w:name w:val="heading 9"/>
    <w:basedOn w:val="Normal"/>
    <w:next w:val="Normal"/>
    <w:link w:val="Overskrift9Tegn"/>
    <w:uiPriority w:val="10"/>
    <w:rsid w:val="00BC594D"/>
    <w:pPr>
      <w:keepNext/>
      <w:overflowPunct w:val="0"/>
      <w:autoSpaceDE w:val="0"/>
      <w:autoSpaceDN w:val="0"/>
      <w:adjustRightInd w:val="0"/>
      <w:spacing w:after="300"/>
      <w:jc w:val="left"/>
      <w:textAlignment w:val="baseline"/>
      <w:outlineLvl w:val="8"/>
    </w:pPr>
    <w:rPr>
      <w:rFonts w:eastAsia="Times New Roman" w:cs="Arial"/>
      <w:b/>
      <w:bCs/>
      <w:sz w:val="30"/>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21"/>
    <w:semiHidden/>
    <w:rsid w:val="00BC594D"/>
    <w:pPr>
      <w:tabs>
        <w:tab w:val="center" w:pos="4819"/>
        <w:tab w:val="right" w:pos="9638"/>
      </w:tabs>
      <w:spacing w:line="240" w:lineRule="auto"/>
      <w:ind w:left="-567" w:right="-567"/>
    </w:pPr>
    <w:rPr>
      <w:rFonts w:ascii="Arial" w:hAnsi="Arial"/>
      <w:sz w:val="16"/>
    </w:rPr>
  </w:style>
  <w:style w:type="character" w:customStyle="1" w:styleId="SidehovedTegn">
    <w:name w:val="Sidehoved Tegn"/>
    <w:basedOn w:val="Standardskrifttypeiafsnit"/>
    <w:link w:val="Sidehoved"/>
    <w:uiPriority w:val="21"/>
    <w:semiHidden/>
    <w:rsid w:val="00BC594D"/>
    <w:rPr>
      <w:rFonts w:ascii="Arial" w:hAnsi="Arial"/>
      <w:sz w:val="16"/>
      <w:lang w:val="da-DK"/>
    </w:rPr>
  </w:style>
  <w:style w:type="paragraph" w:styleId="Sidefod">
    <w:name w:val="footer"/>
    <w:basedOn w:val="Normal"/>
    <w:link w:val="SidefodTegn"/>
    <w:uiPriority w:val="21"/>
    <w:semiHidden/>
    <w:rsid w:val="00BC594D"/>
    <w:pPr>
      <w:tabs>
        <w:tab w:val="center" w:pos="4819"/>
        <w:tab w:val="right" w:pos="9638"/>
      </w:tabs>
      <w:spacing w:line="240" w:lineRule="atLeast"/>
      <w:ind w:left="-567" w:right="-567"/>
    </w:pPr>
    <w:rPr>
      <w:sz w:val="16"/>
    </w:rPr>
  </w:style>
  <w:style w:type="character" w:customStyle="1" w:styleId="SidefodTegn">
    <w:name w:val="Sidefod Tegn"/>
    <w:basedOn w:val="Standardskrifttypeiafsnit"/>
    <w:link w:val="Sidefod"/>
    <w:uiPriority w:val="21"/>
    <w:semiHidden/>
    <w:rsid w:val="00BC594D"/>
    <w:rPr>
      <w:sz w:val="16"/>
      <w:lang w:val="da-DK"/>
    </w:rPr>
  </w:style>
  <w:style w:type="character" w:customStyle="1" w:styleId="Overskrift1Tegn">
    <w:name w:val="Overskrift 1 Tegn"/>
    <w:basedOn w:val="Standardskrifttypeiafsnit"/>
    <w:link w:val="Overskrift1"/>
    <w:rsid w:val="00BC594D"/>
    <w:rPr>
      <w:rFonts w:eastAsia="Times New Roman" w:cs="Times New Roman"/>
      <w:b/>
      <w:bCs/>
      <w:caps/>
    </w:rPr>
  </w:style>
  <w:style w:type="character" w:customStyle="1" w:styleId="Overskrift2Tegn">
    <w:name w:val="Overskrift 2 Tegn"/>
    <w:basedOn w:val="Standardskrifttypeiafsnit"/>
    <w:link w:val="Overskrift2"/>
    <w:rsid w:val="00BC594D"/>
    <w:rPr>
      <w:rFonts w:eastAsia="Times New Roman" w:cs="Times New Roman"/>
      <w:b/>
      <w:iCs/>
      <w:szCs w:val="28"/>
    </w:rPr>
  </w:style>
  <w:style w:type="character" w:customStyle="1" w:styleId="Overskrift3Tegn">
    <w:name w:val="Overskrift 3 Tegn"/>
    <w:basedOn w:val="Standardskrifttypeiafsnit"/>
    <w:link w:val="Overskrift3"/>
    <w:rsid w:val="00BC594D"/>
    <w:rPr>
      <w:rFonts w:eastAsia="Times New Roman" w:cs="Times New Roman"/>
      <w:b/>
      <w:i/>
      <w:szCs w:val="26"/>
    </w:rPr>
  </w:style>
  <w:style w:type="character" w:customStyle="1" w:styleId="Overskrift4Tegn">
    <w:name w:val="Overskrift 4 Tegn"/>
    <w:basedOn w:val="Standardskrifttypeiafsnit"/>
    <w:link w:val="Overskrift4"/>
    <w:rsid w:val="00BC594D"/>
    <w:rPr>
      <w:rFonts w:eastAsia="Times New Roman" w:cs="Times New Roman"/>
      <w:bCs/>
      <w:i/>
      <w:szCs w:val="28"/>
    </w:rPr>
  </w:style>
  <w:style w:type="character" w:customStyle="1" w:styleId="Overskrift5Tegn">
    <w:name w:val="Overskrift 5 Tegn"/>
    <w:basedOn w:val="Standardskrifttypeiafsnit"/>
    <w:link w:val="Overskrift5"/>
    <w:uiPriority w:val="9"/>
    <w:rsid w:val="00BC594D"/>
    <w:rPr>
      <w:rFonts w:eastAsia="Times New Roman" w:cs="Times New Roman"/>
      <w:b/>
      <w:iCs/>
      <w:caps/>
      <w:szCs w:val="26"/>
      <w:lang w:val="da-DK"/>
    </w:rPr>
  </w:style>
  <w:style w:type="character" w:customStyle="1" w:styleId="Overskrift6Tegn">
    <w:name w:val="Overskrift 6 Tegn"/>
    <w:basedOn w:val="Standardskrifttypeiafsnit"/>
    <w:link w:val="Overskrift6"/>
    <w:uiPriority w:val="9"/>
    <w:rsid w:val="00BC594D"/>
    <w:rPr>
      <w:rFonts w:eastAsia="Times New Roman" w:cs="Times New Roman"/>
      <w:b/>
      <w:bCs/>
      <w:iCs/>
      <w:szCs w:val="22"/>
      <w:lang w:val="da-DK"/>
    </w:rPr>
  </w:style>
  <w:style w:type="character" w:customStyle="1" w:styleId="Overskrift7Tegn">
    <w:name w:val="Overskrift 7 Tegn"/>
    <w:basedOn w:val="Standardskrifttypeiafsnit"/>
    <w:link w:val="Overskrift7"/>
    <w:uiPriority w:val="9"/>
    <w:rsid w:val="00BC594D"/>
    <w:rPr>
      <w:rFonts w:eastAsia="Times New Roman" w:cs="Times New Roman"/>
      <w:b/>
      <w:i/>
      <w:szCs w:val="24"/>
      <w:lang w:val="da-DK"/>
    </w:rPr>
  </w:style>
  <w:style w:type="character" w:customStyle="1" w:styleId="Overskrift8Tegn">
    <w:name w:val="Overskrift 8 Tegn"/>
    <w:basedOn w:val="Standardskrifttypeiafsnit"/>
    <w:link w:val="Overskrift8"/>
    <w:uiPriority w:val="9"/>
    <w:rsid w:val="00BC594D"/>
    <w:rPr>
      <w:rFonts w:eastAsia="Times New Roman" w:cs="Times New Roman"/>
      <w:bCs/>
      <w:i/>
      <w:iCs/>
      <w:szCs w:val="24"/>
      <w:lang w:val="da-DK"/>
    </w:rPr>
  </w:style>
  <w:style w:type="character" w:customStyle="1" w:styleId="Overskrift9Tegn">
    <w:name w:val="Overskrift 9 Tegn"/>
    <w:basedOn w:val="Standardskrifttypeiafsnit"/>
    <w:link w:val="Overskrift9"/>
    <w:uiPriority w:val="10"/>
    <w:rsid w:val="00BC594D"/>
    <w:rPr>
      <w:rFonts w:eastAsia="Times New Roman" w:cs="Arial"/>
      <w:b/>
      <w:bCs/>
      <w:sz w:val="30"/>
      <w:szCs w:val="28"/>
      <w:lang w:val="da-DK"/>
    </w:rPr>
  </w:style>
  <w:style w:type="paragraph" w:styleId="Titel">
    <w:name w:val="Title"/>
    <w:basedOn w:val="Normal"/>
    <w:link w:val="TitelTegn"/>
    <w:uiPriority w:val="11"/>
    <w:rsid w:val="00BC594D"/>
    <w:pPr>
      <w:keepNext/>
      <w:overflowPunct w:val="0"/>
      <w:autoSpaceDE w:val="0"/>
      <w:autoSpaceDN w:val="0"/>
      <w:adjustRightInd w:val="0"/>
      <w:spacing w:after="240" w:line="240" w:lineRule="auto"/>
      <w:jc w:val="left"/>
      <w:textAlignment w:val="baseline"/>
    </w:pPr>
    <w:rPr>
      <w:rFonts w:eastAsia="Times New Roman" w:cs="Arial"/>
      <w:bCs/>
      <w:sz w:val="52"/>
      <w:szCs w:val="32"/>
    </w:rPr>
  </w:style>
  <w:style w:type="character" w:customStyle="1" w:styleId="TitelTegn">
    <w:name w:val="Titel Tegn"/>
    <w:basedOn w:val="Standardskrifttypeiafsnit"/>
    <w:link w:val="Titel"/>
    <w:uiPriority w:val="11"/>
    <w:rsid w:val="00BC594D"/>
    <w:rPr>
      <w:rFonts w:eastAsia="Times New Roman" w:cs="Arial"/>
      <w:bCs/>
      <w:sz w:val="52"/>
      <w:szCs w:val="32"/>
      <w:lang w:val="da-DK"/>
    </w:rPr>
  </w:style>
  <w:style w:type="paragraph" w:styleId="Undertitel">
    <w:name w:val="Subtitle"/>
    <w:basedOn w:val="Normal"/>
    <w:next w:val="Normal"/>
    <w:link w:val="UndertitelTegn"/>
    <w:uiPriority w:val="19"/>
    <w:semiHidden/>
    <w:rsid w:val="00BC594D"/>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semiHidden/>
    <w:rsid w:val="00BC594D"/>
    <w:rPr>
      <w:rFonts w:eastAsiaTheme="majorEastAsia" w:cstheme="majorBidi"/>
      <w:b/>
      <w:iCs/>
      <w:sz w:val="36"/>
      <w:szCs w:val="24"/>
      <w:lang w:val="da-DK"/>
    </w:rPr>
  </w:style>
  <w:style w:type="character" w:styleId="Svagfremhvning">
    <w:name w:val="Subtle Emphasis"/>
    <w:basedOn w:val="Standardskrifttypeiafsnit"/>
    <w:uiPriority w:val="99"/>
    <w:semiHidden/>
    <w:qFormat/>
    <w:rsid w:val="00BC594D"/>
    <w:rPr>
      <w:i/>
      <w:iCs/>
      <w:color w:val="808080" w:themeColor="text1" w:themeTint="7F"/>
      <w:lang w:val="da-DK"/>
    </w:rPr>
  </w:style>
  <w:style w:type="character" w:styleId="Kraftigfremhvning">
    <w:name w:val="Intense Emphasis"/>
    <w:basedOn w:val="Standardskrifttypeiafsnit"/>
    <w:uiPriority w:val="19"/>
    <w:semiHidden/>
    <w:rsid w:val="00BC594D"/>
    <w:rPr>
      <w:b/>
      <w:bCs/>
      <w:i/>
      <w:iCs/>
      <w:color w:val="auto"/>
      <w:lang w:val="da-DK"/>
    </w:rPr>
  </w:style>
  <w:style w:type="character" w:styleId="Strk">
    <w:name w:val="Strong"/>
    <w:basedOn w:val="Standardskrifttypeiafsnit"/>
    <w:uiPriority w:val="22"/>
    <w:qFormat/>
    <w:rsid w:val="00BC594D"/>
    <w:rPr>
      <w:b/>
      <w:bCs/>
      <w:lang w:val="da-DK"/>
    </w:rPr>
  </w:style>
  <w:style w:type="paragraph" w:styleId="Strktcitat">
    <w:name w:val="Intense Quote"/>
    <w:basedOn w:val="Normal"/>
    <w:next w:val="Normal"/>
    <w:link w:val="StrktcitatTegn"/>
    <w:uiPriority w:val="19"/>
    <w:semiHidden/>
    <w:rsid w:val="00BC594D"/>
    <w:pPr>
      <w:spacing w:before="260" w:after="260"/>
      <w:ind w:left="851" w:right="851"/>
    </w:pPr>
    <w:rPr>
      <w:b/>
      <w:bCs/>
      <w:i/>
      <w:iCs/>
    </w:rPr>
  </w:style>
  <w:style w:type="character" w:customStyle="1" w:styleId="StrktcitatTegn">
    <w:name w:val="Stærkt citat Tegn"/>
    <w:basedOn w:val="Standardskrifttypeiafsnit"/>
    <w:link w:val="Strktcitat"/>
    <w:uiPriority w:val="19"/>
    <w:semiHidden/>
    <w:rsid w:val="00BC594D"/>
    <w:rPr>
      <w:b/>
      <w:bCs/>
      <w:i/>
      <w:iCs/>
      <w:lang w:val="da-DK"/>
    </w:rPr>
  </w:style>
  <w:style w:type="character" w:styleId="Svaghenvisning">
    <w:name w:val="Subtle Reference"/>
    <w:basedOn w:val="Standardskrifttypeiafsnit"/>
    <w:uiPriority w:val="99"/>
    <w:semiHidden/>
    <w:qFormat/>
    <w:rsid w:val="00BC594D"/>
    <w:rPr>
      <w:caps w:val="0"/>
      <w:smallCaps w:val="0"/>
      <w:color w:val="auto"/>
      <w:u w:val="single"/>
      <w:lang w:val="da-DK"/>
    </w:rPr>
  </w:style>
  <w:style w:type="character" w:styleId="Kraftighenvisning">
    <w:name w:val="Intense Reference"/>
    <w:basedOn w:val="Standardskrifttypeiafsnit"/>
    <w:uiPriority w:val="99"/>
    <w:semiHidden/>
    <w:qFormat/>
    <w:rsid w:val="00BC594D"/>
    <w:rPr>
      <w:b/>
      <w:bCs/>
      <w:caps w:val="0"/>
      <w:smallCaps w:val="0"/>
      <w:color w:val="auto"/>
      <w:spacing w:val="5"/>
      <w:u w:val="single"/>
      <w:lang w:val="da-DK"/>
    </w:rPr>
  </w:style>
  <w:style w:type="paragraph" w:styleId="Billedtekst">
    <w:name w:val="caption"/>
    <w:basedOn w:val="Normal"/>
    <w:next w:val="Normal"/>
    <w:uiPriority w:val="6"/>
    <w:semiHidden/>
    <w:rsid w:val="00BC594D"/>
    <w:rPr>
      <w:b/>
      <w:bCs/>
      <w:sz w:val="16"/>
    </w:rPr>
  </w:style>
  <w:style w:type="paragraph" w:styleId="Indholdsfortegnelse1">
    <w:name w:val="toc 1"/>
    <w:basedOn w:val="Normal"/>
    <w:next w:val="Normal"/>
    <w:uiPriority w:val="39"/>
    <w:rsid w:val="00BC594D"/>
    <w:pPr>
      <w:tabs>
        <w:tab w:val="right" w:pos="9633"/>
      </w:tabs>
      <w:overflowPunct w:val="0"/>
      <w:autoSpaceDE w:val="0"/>
      <w:autoSpaceDN w:val="0"/>
      <w:adjustRightInd w:val="0"/>
      <w:spacing w:line="348" w:lineRule="auto"/>
      <w:ind w:left="567" w:right="567" w:hanging="567"/>
      <w:jc w:val="left"/>
      <w:textAlignment w:val="baseline"/>
    </w:pPr>
    <w:rPr>
      <w:rFonts w:eastAsia="Times New Roman" w:cs="Times New Roman"/>
      <w:bCs/>
      <w:caps/>
      <w:noProof/>
      <w:sz w:val="18"/>
    </w:rPr>
  </w:style>
  <w:style w:type="paragraph" w:styleId="Indholdsfortegnelse2">
    <w:name w:val="toc 2"/>
    <w:basedOn w:val="Normal"/>
    <w:next w:val="Normal"/>
    <w:uiPriority w:val="39"/>
    <w:rsid w:val="00BC594D"/>
    <w:pPr>
      <w:tabs>
        <w:tab w:val="left" w:pos="1276"/>
        <w:tab w:val="right" w:pos="9633"/>
      </w:tabs>
      <w:spacing w:line="348" w:lineRule="auto"/>
      <w:ind w:left="1276" w:right="567" w:hanging="709"/>
      <w:jc w:val="left"/>
    </w:pPr>
    <w:rPr>
      <w:sz w:val="18"/>
      <w:szCs w:val="18"/>
    </w:rPr>
  </w:style>
  <w:style w:type="paragraph" w:styleId="Indholdsfortegnelse3">
    <w:name w:val="toc 3"/>
    <w:basedOn w:val="Normal"/>
    <w:next w:val="Normal"/>
    <w:uiPriority w:val="39"/>
    <w:rsid w:val="00BC594D"/>
    <w:pPr>
      <w:tabs>
        <w:tab w:val="left" w:pos="2126"/>
        <w:tab w:val="right" w:pos="9633"/>
      </w:tabs>
      <w:overflowPunct w:val="0"/>
      <w:autoSpaceDE w:val="0"/>
      <w:autoSpaceDN w:val="0"/>
      <w:adjustRightInd w:val="0"/>
      <w:spacing w:line="348" w:lineRule="auto"/>
      <w:ind w:left="2127" w:right="567" w:hanging="851"/>
      <w:jc w:val="left"/>
      <w:textAlignment w:val="baseline"/>
    </w:pPr>
    <w:rPr>
      <w:rFonts w:eastAsia="Times New Roman" w:cs="Times New Roman"/>
      <w:bCs/>
      <w:noProof/>
      <w:sz w:val="18"/>
    </w:rPr>
  </w:style>
  <w:style w:type="paragraph" w:styleId="Indholdsfortegnelse4">
    <w:name w:val="toc 4"/>
    <w:basedOn w:val="Normal"/>
    <w:next w:val="Normal"/>
    <w:uiPriority w:val="39"/>
    <w:rsid w:val="00BC594D"/>
    <w:pPr>
      <w:tabs>
        <w:tab w:val="left" w:pos="3119"/>
        <w:tab w:val="right" w:pos="9633"/>
      </w:tabs>
      <w:overflowPunct w:val="0"/>
      <w:autoSpaceDE w:val="0"/>
      <w:autoSpaceDN w:val="0"/>
      <w:adjustRightInd w:val="0"/>
      <w:spacing w:line="348" w:lineRule="auto"/>
      <w:ind w:left="3118" w:right="567" w:hanging="992"/>
      <w:jc w:val="left"/>
      <w:textAlignment w:val="baseline"/>
    </w:pPr>
    <w:rPr>
      <w:rFonts w:eastAsia="Times New Roman" w:cs="Times New Roman"/>
      <w:bCs/>
      <w:noProof/>
      <w:sz w:val="18"/>
    </w:rPr>
  </w:style>
  <w:style w:type="paragraph" w:styleId="Indholdsfortegnelse5">
    <w:name w:val="toc 5"/>
    <w:basedOn w:val="Normal"/>
    <w:next w:val="Normal"/>
    <w:uiPriority w:val="39"/>
    <w:semiHidden/>
    <w:rsid w:val="00BC594D"/>
    <w:pPr>
      <w:overflowPunct w:val="0"/>
      <w:autoSpaceDE w:val="0"/>
      <w:autoSpaceDN w:val="0"/>
      <w:adjustRightInd w:val="0"/>
      <w:spacing w:line="372" w:lineRule="auto"/>
      <w:ind w:left="720"/>
      <w:jc w:val="left"/>
      <w:textAlignment w:val="baseline"/>
    </w:pPr>
    <w:rPr>
      <w:rFonts w:eastAsia="Times New Roman" w:cs="Times New Roman"/>
      <w:bCs/>
      <w:sz w:val="18"/>
    </w:rPr>
  </w:style>
  <w:style w:type="paragraph" w:styleId="Indholdsfortegnelse6">
    <w:name w:val="toc 6"/>
    <w:basedOn w:val="Normal"/>
    <w:next w:val="Normal"/>
    <w:uiPriority w:val="39"/>
    <w:semiHidden/>
    <w:rsid w:val="00BC594D"/>
    <w:pPr>
      <w:overflowPunct w:val="0"/>
      <w:autoSpaceDE w:val="0"/>
      <w:autoSpaceDN w:val="0"/>
      <w:adjustRightInd w:val="0"/>
      <w:spacing w:line="372" w:lineRule="auto"/>
      <w:ind w:left="900"/>
      <w:jc w:val="left"/>
      <w:textAlignment w:val="baseline"/>
    </w:pPr>
    <w:rPr>
      <w:rFonts w:eastAsia="Times New Roman" w:cs="Times New Roman"/>
      <w:bCs/>
      <w:sz w:val="18"/>
    </w:rPr>
  </w:style>
  <w:style w:type="paragraph" w:styleId="Indholdsfortegnelse7">
    <w:name w:val="toc 7"/>
    <w:basedOn w:val="Normal"/>
    <w:next w:val="Normal"/>
    <w:uiPriority w:val="39"/>
    <w:semiHidden/>
    <w:rsid w:val="00BC594D"/>
    <w:pPr>
      <w:overflowPunct w:val="0"/>
      <w:autoSpaceDE w:val="0"/>
      <w:autoSpaceDN w:val="0"/>
      <w:adjustRightInd w:val="0"/>
      <w:spacing w:line="372" w:lineRule="auto"/>
      <w:ind w:left="1080"/>
      <w:jc w:val="left"/>
      <w:textAlignment w:val="baseline"/>
    </w:pPr>
    <w:rPr>
      <w:rFonts w:eastAsia="Times New Roman" w:cs="Times New Roman"/>
      <w:bCs/>
      <w:sz w:val="18"/>
    </w:rPr>
  </w:style>
  <w:style w:type="paragraph" w:styleId="Indholdsfortegnelse8">
    <w:name w:val="toc 8"/>
    <w:basedOn w:val="Normal"/>
    <w:next w:val="Normal"/>
    <w:uiPriority w:val="39"/>
    <w:semiHidden/>
    <w:rsid w:val="00BC594D"/>
    <w:pPr>
      <w:overflowPunct w:val="0"/>
      <w:autoSpaceDE w:val="0"/>
      <w:autoSpaceDN w:val="0"/>
      <w:adjustRightInd w:val="0"/>
      <w:spacing w:line="372" w:lineRule="auto"/>
      <w:ind w:left="1260"/>
      <w:jc w:val="left"/>
      <w:textAlignment w:val="baseline"/>
    </w:pPr>
    <w:rPr>
      <w:rFonts w:eastAsia="Times New Roman" w:cs="Times New Roman"/>
      <w:bCs/>
      <w:sz w:val="18"/>
    </w:rPr>
  </w:style>
  <w:style w:type="paragraph" w:styleId="Indholdsfortegnelse9">
    <w:name w:val="toc 9"/>
    <w:basedOn w:val="Normal"/>
    <w:next w:val="Normal"/>
    <w:uiPriority w:val="39"/>
    <w:semiHidden/>
    <w:rsid w:val="00BC594D"/>
    <w:pPr>
      <w:overflowPunct w:val="0"/>
      <w:autoSpaceDE w:val="0"/>
      <w:autoSpaceDN w:val="0"/>
      <w:adjustRightInd w:val="0"/>
      <w:spacing w:line="372" w:lineRule="auto"/>
      <w:ind w:left="1440"/>
      <w:jc w:val="left"/>
      <w:textAlignment w:val="baseline"/>
    </w:pPr>
    <w:rPr>
      <w:rFonts w:eastAsia="Times New Roman" w:cs="Times New Roman"/>
      <w:bCs/>
      <w:sz w:val="18"/>
    </w:rPr>
  </w:style>
  <w:style w:type="paragraph" w:styleId="Overskrift">
    <w:name w:val="TOC Heading"/>
    <w:next w:val="Normal"/>
    <w:uiPriority w:val="39"/>
    <w:qFormat/>
    <w:rsid w:val="00BC594D"/>
    <w:pPr>
      <w:keepLines/>
    </w:pPr>
    <w:rPr>
      <w:rFonts w:eastAsiaTheme="majorEastAsia" w:cstheme="majorBidi"/>
      <w:sz w:val="32"/>
      <w:szCs w:val="32"/>
    </w:rPr>
  </w:style>
  <w:style w:type="paragraph" w:styleId="Bloktekst">
    <w:name w:val="Block Text"/>
    <w:basedOn w:val="Normal"/>
    <w:uiPriority w:val="99"/>
    <w:semiHidden/>
    <w:rsid w:val="00BC594D"/>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BC594D"/>
    <w:pPr>
      <w:spacing w:after="120" w:line="240" w:lineRule="atLeast"/>
      <w:ind w:left="85" w:hanging="85"/>
    </w:pPr>
    <w:rPr>
      <w:sz w:val="16"/>
    </w:rPr>
  </w:style>
  <w:style w:type="character" w:customStyle="1" w:styleId="SlutnotetekstTegn">
    <w:name w:val="Slutnotetekst Tegn"/>
    <w:basedOn w:val="Standardskrifttypeiafsnit"/>
    <w:link w:val="Slutnotetekst"/>
    <w:uiPriority w:val="21"/>
    <w:semiHidden/>
    <w:rsid w:val="00BC594D"/>
    <w:rPr>
      <w:sz w:val="16"/>
      <w:lang w:val="da-DK"/>
    </w:rPr>
  </w:style>
  <w:style w:type="character" w:styleId="Slutnotehenvisning">
    <w:name w:val="endnote reference"/>
    <w:basedOn w:val="Standardskrifttypeiafsnit"/>
    <w:uiPriority w:val="21"/>
    <w:semiHidden/>
    <w:rsid w:val="00BC594D"/>
    <w:rPr>
      <w:vertAlign w:val="superscript"/>
      <w:lang w:val="da-DK"/>
    </w:rPr>
  </w:style>
  <w:style w:type="paragraph" w:styleId="Fodnotetekst">
    <w:name w:val="footnote text"/>
    <w:aliases w:val="Tegn Tegn,Fodnotetekst Tegn1 Tegn Tegn,Fodnotetekst Tegn Tegn Tegn Tegn,Tegn Tegn Tegn Tegn Tegn,Fodnotetekst Tegn Tegn1,foot, Tegn Tegn,Fodnotetekst Tegn1, Tegn Tegn Tegn Tegn Tegn"/>
    <w:basedOn w:val="Normal"/>
    <w:link w:val="FodnotetekstTegn"/>
    <w:uiPriority w:val="21"/>
    <w:rsid w:val="00BC594D"/>
    <w:pPr>
      <w:tabs>
        <w:tab w:val="left" w:pos="284"/>
      </w:tabs>
      <w:spacing w:after="120" w:line="240" w:lineRule="atLeast"/>
    </w:pPr>
    <w:rPr>
      <w:sz w:val="16"/>
    </w:rPr>
  </w:style>
  <w:style w:type="character" w:customStyle="1" w:styleId="FodnotetekstTegn">
    <w:name w:val="Fodnotetekst Tegn"/>
    <w:aliases w:val="Tegn Tegn Tegn,Fodnotetekst Tegn1 Tegn Tegn Tegn,Fodnotetekst Tegn Tegn Tegn Tegn Tegn,Tegn Tegn Tegn Tegn Tegn Tegn,Fodnotetekst Tegn Tegn1 Tegn,foot Tegn, Tegn Tegn Tegn,Fodnotetekst Tegn1 Tegn, Tegn Tegn Tegn Tegn Tegn Tegn"/>
    <w:basedOn w:val="Standardskrifttypeiafsnit"/>
    <w:link w:val="Fodnotetekst"/>
    <w:uiPriority w:val="21"/>
    <w:rsid w:val="00BC594D"/>
    <w:rPr>
      <w:sz w:val="16"/>
      <w:lang w:val="da-DK"/>
    </w:rPr>
  </w:style>
  <w:style w:type="paragraph" w:styleId="Opstilling-punkttegn">
    <w:name w:val="List Bullet"/>
    <w:basedOn w:val="Normal"/>
    <w:uiPriority w:val="2"/>
    <w:semiHidden/>
    <w:rsid w:val="00BC594D"/>
    <w:pPr>
      <w:numPr>
        <w:numId w:val="2"/>
      </w:numPr>
      <w:overflowPunct w:val="0"/>
      <w:autoSpaceDE w:val="0"/>
      <w:autoSpaceDN w:val="0"/>
      <w:adjustRightInd w:val="0"/>
      <w:textAlignment w:val="baseline"/>
    </w:pPr>
    <w:rPr>
      <w:rFonts w:eastAsia="Times New Roman" w:cs="Times New Roman"/>
      <w:bCs/>
    </w:rPr>
  </w:style>
  <w:style w:type="paragraph" w:styleId="Opstilling-talellerbogst">
    <w:name w:val="List Number"/>
    <w:basedOn w:val="Normal"/>
    <w:uiPriority w:val="2"/>
    <w:rsid w:val="00BC594D"/>
    <w:pPr>
      <w:numPr>
        <w:numId w:val="7"/>
      </w:numPr>
      <w:spacing w:before="300" w:after="300"/>
      <w:contextualSpacing/>
      <w:jc w:val="left"/>
    </w:pPr>
    <w:rPr>
      <w:szCs w:val="18"/>
    </w:rPr>
  </w:style>
  <w:style w:type="character" w:styleId="Sidetal">
    <w:name w:val="page number"/>
    <w:basedOn w:val="Standardskrifttypeiafsnit"/>
    <w:uiPriority w:val="21"/>
    <w:semiHidden/>
    <w:rsid w:val="00BC594D"/>
    <w:rPr>
      <w:rFonts w:ascii="Arial" w:hAnsi="Arial"/>
      <w:spacing w:val="8"/>
      <w:sz w:val="12"/>
      <w:lang w:val="da-DK"/>
    </w:rPr>
  </w:style>
  <w:style w:type="paragraph" w:customStyle="1" w:styleId="Template">
    <w:name w:val="Template"/>
    <w:uiPriority w:val="8"/>
    <w:semiHidden/>
    <w:rsid w:val="00BC594D"/>
    <w:pPr>
      <w:spacing w:line="372" w:lineRule="auto"/>
    </w:pPr>
    <w:rPr>
      <w:rFonts w:ascii="Arial" w:hAnsi="Arial"/>
      <w:noProof/>
      <w:sz w:val="12"/>
    </w:rPr>
  </w:style>
  <w:style w:type="paragraph" w:customStyle="1" w:styleId="Template-Adresse">
    <w:name w:val="Template - Adresse"/>
    <w:basedOn w:val="Template"/>
    <w:uiPriority w:val="8"/>
    <w:semiHidden/>
    <w:rsid w:val="00BC594D"/>
    <w:pPr>
      <w:tabs>
        <w:tab w:val="left" w:pos="284"/>
      </w:tabs>
      <w:suppressAutoHyphens/>
    </w:pPr>
    <w:rPr>
      <w:caps/>
      <w:spacing w:val="8"/>
    </w:rPr>
  </w:style>
  <w:style w:type="paragraph" w:customStyle="1" w:styleId="Template-Virksomhedsnavn">
    <w:name w:val="Template - Virksomheds navn"/>
    <w:basedOn w:val="Template-Adresse"/>
    <w:next w:val="Template-Adresse"/>
    <w:uiPriority w:val="8"/>
    <w:semiHidden/>
    <w:rsid w:val="00BC594D"/>
    <w:pPr>
      <w:spacing w:before="260"/>
    </w:pPr>
    <w:rPr>
      <w:b/>
    </w:rPr>
  </w:style>
  <w:style w:type="paragraph" w:styleId="Citatoverskrift">
    <w:name w:val="toa heading"/>
    <w:basedOn w:val="Normal"/>
    <w:next w:val="Normal"/>
    <w:uiPriority w:val="39"/>
    <w:semiHidden/>
    <w:rsid w:val="00BC594D"/>
    <w:pPr>
      <w:spacing w:after="520" w:line="360" w:lineRule="atLeast"/>
      <w:jc w:val="left"/>
    </w:pPr>
    <w:rPr>
      <w:rFonts w:eastAsiaTheme="majorEastAsia" w:cstheme="majorBidi"/>
      <w:b/>
      <w:bCs/>
      <w:sz w:val="28"/>
      <w:szCs w:val="24"/>
    </w:rPr>
  </w:style>
  <w:style w:type="paragraph" w:styleId="Listeoverfigurer">
    <w:name w:val="table of figures"/>
    <w:basedOn w:val="Normal"/>
    <w:next w:val="Normal"/>
    <w:uiPriority w:val="10"/>
    <w:semiHidden/>
    <w:rsid w:val="00BC594D"/>
    <w:pPr>
      <w:ind w:right="567"/>
    </w:pPr>
  </w:style>
  <w:style w:type="paragraph" w:styleId="Underskrift">
    <w:name w:val="Signature"/>
    <w:basedOn w:val="Normal"/>
    <w:link w:val="UnderskriftTegn"/>
    <w:uiPriority w:val="99"/>
    <w:semiHidden/>
    <w:rsid w:val="00BC594D"/>
    <w:pPr>
      <w:spacing w:line="240" w:lineRule="auto"/>
      <w:ind w:left="4252"/>
    </w:pPr>
  </w:style>
  <w:style w:type="character" w:customStyle="1" w:styleId="UnderskriftTegn">
    <w:name w:val="Underskrift Tegn"/>
    <w:basedOn w:val="Standardskrifttypeiafsnit"/>
    <w:link w:val="Underskrift"/>
    <w:uiPriority w:val="99"/>
    <w:semiHidden/>
    <w:rsid w:val="00BC594D"/>
    <w:rPr>
      <w:lang w:val="da-DK"/>
    </w:rPr>
  </w:style>
  <w:style w:type="character" w:styleId="Pladsholdertekst">
    <w:name w:val="Placeholder Text"/>
    <w:basedOn w:val="Standardskrifttypeiafsnit"/>
    <w:uiPriority w:val="99"/>
    <w:semiHidden/>
    <w:rsid w:val="00BC594D"/>
    <w:rPr>
      <w:color w:val="auto"/>
      <w:lang w:val="da-DK"/>
    </w:rPr>
  </w:style>
  <w:style w:type="paragraph" w:customStyle="1" w:styleId="Tabel">
    <w:name w:val="Tabel"/>
    <w:uiPriority w:val="4"/>
    <w:semiHidden/>
    <w:rsid w:val="00BC594D"/>
    <w:pPr>
      <w:spacing w:before="40" w:after="40" w:line="240" w:lineRule="atLeast"/>
      <w:ind w:left="57" w:right="57"/>
    </w:pPr>
    <w:rPr>
      <w:sz w:val="16"/>
    </w:rPr>
  </w:style>
  <w:style w:type="paragraph" w:customStyle="1" w:styleId="Tabel-Tekst">
    <w:name w:val="Tabel - Tekst"/>
    <w:basedOn w:val="Tabel"/>
    <w:uiPriority w:val="4"/>
    <w:semiHidden/>
    <w:rsid w:val="00BC594D"/>
  </w:style>
  <w:style w:type="paragraph" w:customStyle="1" w:styleId="Tabel-TekstTotal">
    <w:name w:val="Tabel - Tekst Total"/>
    <w:basedOn w:val="Tabel-Tekst"/>
    <w:uiPriority w:val="4"/>
    <w:semiHidden/>
    <w:rsid w:val="00BC594D"/>
    <w:rPr>
      <w:b/>
    </w:rPr>
  </w:style>
  <w:style w:type="paragraph" w:customStyle="1" w:styleId="Tabel-Tal">
    <w:name w:val="Tabel - Tal"/>
    <w:basedOn w:val="Tabel"/>
    <w:uiPriority w:val="4"/>
    <w:semiHidden/>
    <w:rsid w:val="00BC594D"/>
    <w:pPr>
      <w:jc w:val="right"/>
    </w:pPr>
  </w:style>
  <w:style w:type="paragraph" w:customStyle="1" w:styleId="Tabel-TalTotal">
    <w:name w:val="Tabel - Tal Total"/>
    <w:basedOn w:val="Tabel-Tal"/>
    <w:uiPriority w:val="4"/>
    <w:semiHidden/>
    <w:rsid w:val="00BC594D"/>
    <w:rPr>
      <w:b/>
    </w:rPr>
  </w:style>
  <w:style w:type="paragraph" w:styleId="Citat">
    <w:name w:val="Quote"/>
    <w:basedOn w:val="Normal"/>
    <w:next w:val="Normal"/>
    <w:link w:val="CitatTegn"/>
    <w:uiPriority w:val="1"/>
    <w:rsid w:val="00BC594D"/>
    <w:pPr>
      <w:spacing w:after="300"/>
      <w:ind w:left="992"/>
      <w:contextualSpacing/>
    </w:pPr>
    <w:rPr>
      <w:i/>
      <w:iCs/>
      <w:color w:val="000000" w:themeColor="text1"/>
    </w:rPr>
  </w:style>
  <w:style w:type="character" w:customStyle="1" w:styleId="CitatTegn">
    <w:name w:val="Citat Tegn"/>
    <w:basedOn w:val="Standardskrifttypeiafsnit"/>
    <w:link w:val="Citat"/>
    <w:uiPriority w:val="1"/>
    <w:rsid w:val="00BC594D"/>
    <w:rPr>
      <w:i/>
      <w:iCs/>
      <w:color w:val="000000" w:themeColor="text1"/>
      <w:lang w:val="da-DK"/>
    </w:rPr>
  </w:style>
  <w:style w:type="character" w:styleId="Bogenstitel">
    <w:name w:val="Book Title"/>
    <w:basedOn w:val="Standardskrifttypeiafsnit"/>
    <w:uiPriority w:val="99"/>
    <w:semiHidden/>
    <w:qFormat/>
    <w:rsid w:val="00BC594D"/>
    <w:rPr>
      <w:b/>
      <w:bCs/>
      <w:caps w:val="0"/>
      <w:smallCaps w:val="0"/>
      <w:spacing w:val="5"/>
      <w:lang w:val="da-DK"/>
    </w:rPr>
  </w:style>
  <w:style w:type="paragraph" w:styleId="Citatsamling">
    <w:name w:val="table of authorities"/>
    <w:basedOn w:val="Normal"/>
    <w:next w:val="Normal"/>
    <w:uiPriority w:val="10"/>
    <w:semiHidden/>
    <w:rsid w:val="00BC594D"/>
    <w:pPr>
      <w:ind w:right="567"/>
    </w:pPr>
  </w:style>
  <w:style w:type="paragraph" w:styleId="Normalindrykning">
    <w:name w:val="Normal Indent"/>
    <w:basedOn w:val="Normal"/>
    <w:semiHidden/>
    <w:rsid w:val="00BC594D"/>
    <w:pPr>
      <w:ind w:left="1134"/>
    </w:pPr>
  </w:style>
  <w:style w:type="table" w:styleId="Tabel-Gitter">
    <w:name w:val="Table Grid"/>
    <w:aliases w:val="RH Oversigtstabel,Oversigtstabel"/>
    <w:basedOn w:val="Tabel-Normal"/>
    <w:uiPriority w:val="59"/>
    <w:rsid w:val="00BC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Name">
    <w:name w:val="Document Name"/>
    <w:basedOn w:val="Titel"/>
    <w:uiPriority w:val="8"/>
    <w:semiHidden/>
    <w:rsid w:val="00BC594D"/>
    <w:pPr>
      <w:spacing w:line="360" w:lineRule="atLeast"/>
    </w:pPr>
    <w:rPr>
      <w:caps/>
      <w:sz w:val="28"/>
    </w:rPr>
  </w:style>
  <w:style w:type="paragraph" w:customStyle="1" w:styleId="Template-Dato">
    <w:name w:val="Template - Dato"/>
    <w:basedOn w:val="Template"/>
    <w:uiPriority w:val="8"/>
    <w:semiHidden/>
    <w:rsid w:val="00BC594D"/>
    <w:pPr>
      <w:spacing w:after="240" w:line="240" w:lineRule="auto"/>
      <w:ind w:right="-567"/>
      <w:contextualSpacing/>
      <w:jc w:val="right"/>
    </w:pPr>
    <w:rPr>
      <w:b/>
      <w:caps/>
      <w:spacing w:val="10"/>
      <w:sz w:val="14"/>
    </w:rPr>
  </w:style>
  <w:style w:type="table" w:customStyle="1" w:styleId="Blank">
    <w:name w:val="Blank"/>
    <w:basedOn w:val="Tabel-Normal"/>
    <w:uiPriority w:val="99"/>
    <w:rsid w:val="00BC594D"/>
    <w:tblPr>
      <w:tblCellMar>
        <w:left w:w="0" w:type="dxa"/>
        <w:right w:w="0" w:type="dxa"/>
      </w:tblCellMar>
    </w:tblPr>
  </w:style>
  <w:style w:type="paragraph" w:styleId="Ingenafstand">
    <w:name w:val="No Spacing"/>
    <w:uiPriority w:val="99"/>
    <w:semiHidden/>
    <w:rsid w:val="00BC594D"/>
    <w:pPr>
      <w:spacing w:line="240" w:lineRule="atLeast"/>
    </w:pPr>
  </w:style>
  <w:style w:type="paragraph" w:customStyle="1" w:styleId="Modtager">
    <w:name w:val="Modtager"/>
    <w:basedOn w:val="Normal"/>
    <w:uiPriority w:val="14"/>
    <w:rsid w:val="00BC594D"/>
    <w:pPr>
      <w:spacing w:line="240" w:lineRule="auto"/>
      <w:jc w:val="left"/>
    </w:pPr>
  </w:style>
  <w:style w:type="paragraph" w:customStyle="1" w:styleId="Tabel-Overskrift">
    <w:name w:val="Tabel - Overskrift"/>
    <w:basedOn w:val="Tabel"/>
    <w:uiPriority w:val="4"/>
    <w:semiHidden/>
    <w:rsid w:val="00BC594D"/>
    <w:rPr>
      <w:b/>
    </w:rPr>
  </w:style>
  <w:style w:type="paragraph" w:customStyle="1" w:styleId="Tabel-OverskriftHjre">
    <w:name w:val="Tabel - Overskrift Højre"/>
    <w:basedOn w:val="Tabel-Overskrift"/>
    <w:uiPriority w:val="4"/>
    <w:semiHidden/>
    <w:rsid w:val="00BC594D"/>
    <w:pPr>
      <w:jc w:val="right"/>
    </w:pPr>
  </w:style>
  <w:style w:type="paragraph" w:customStyle="1" w:styleId="DocumentHeading">
    <w:name w:val="Document Heading"/>
    <w:basedOn w:val="Overskrift1"/>
    <w:next w:val="Normal"/>
    <w:uiPriority w:val="15"/>
    <w:rsid w:val="00BC594D"/>
    <w:pPr>
      <w:numPr>
        <w:numId w:val="0"/>
      </w:numPr>
      <w:jc w:val="left"/>
    </w:pPr>
    <w:rPr>
      <w:caps w:val="0"/>
    </w:rPr>
  </w:style>
  <w:style w:type="paragraph" w:customStyle="1" w:styleId="Template-Filsti">
    <w:name w:val="Template - Filsti"/>
    <w:basedOn w:val="Template"/>
    <w:uiPriority w:val="9"/>
    <w:semiHidden/>
    <w:rsid w:val="00BC594D"/>
    <w:pPr>
      <w:spacing w:after="190"/>
      <w:ind w:left="7938"/>
      <w:contextualSpacing/>
      <w:jc w:val="right"/>
    </w:pPr>
  </w:style>
  <w:style w:type="character" w:styleId="Hyperlink">
    <w:name w:val="Hyperlink"/>
    <w:basedOn w:val="Standardskrifttypeiafsnit"/>
    <w:uiPriority w:val="99"/>
    <w:rsid w:val="00BC594D"/>
    <w:rPr>
      <w:color w:val="6B8994" w:themeColor="hyperlink"/>
      <w:u w:val="single"/>
      <w:lang w:val="da-DK"/>
    </w:rPr>
  </w:style>
  <w:style w:type="character" w:customStyle="1" w:styleId="Ulstomtale1">
    <w:name w:val="Uløst omtale1"/>
    <w:basedOn w:val="Standardskrifttypeiafsnit"/>
    <w:uiPriority w:val="99"/>
    <w:semiHidden/>
    <w:unhideWhenUsed/>
    <w:rsid w:val="00BC594D"/>
    <w:rPr>
      <w:color w:val="605E5C"/>
      <w:shd w:val="clear" w:color="auto" w:fill="E1DFDD"/>
      <w:lang w:val="da-DK"/>
    </w:rPr>
  </w:style>
  <w:style w:type="paragraph" w:customStyle="1" w:styleId="Template-Brugeroplysninger">
    <w:name w:val="Template - Brugeroplysninger"/>
    <w:basedOn w:val="Template"/>
    <w:uiPriority w:val="9"/>
    <w:semiHidden/>
    <w:rsid w:val="00BC594D"/>
    <w:pPr>
      <w:spacing w:before="320" w:line="276" w:lineRule="auto"/>
      <w:ind w:right="-567"/>
      <w:contextualSpacing/>
      <w:jc w:val="right"/>
    </w:pPr>
    <w:rPr>
      <w:spacing w:val="10"/>
      <w:sz w:val="14"/>
    </w:rPr>
  </w:style>
  <w:style w:type="paragraph" w:customStyle="1" w:styleId="Template-Docinfo">
    <w:name w:val="Template - Doc info"/>
    <w:basedOn w:val="Sidehoved"/>
    <w:uiPriority w:val="9"/>
    <w:semiHidden/>
    <w:rsid w:val="00BC594D"/>
    <w:pPr>
      <w:spacing w:after="240"/>
      <w:contextualSpacing/>
      <w:jc w:val="right"/>
    </w:pPr>
    <w:rPr>
      <w:caps/>
      <w:noProof/>
      <w:spacing w:val="10"/>
      <w:sz w:val="14"/>
    </w:rPr>
  </w:style>
  <w:style w:type="paragraph" w:customStyle="1" w:styleId="Flytning">
    <w:name w:val="Flytning"/>
    <w:basedOn w:val="Normal"/>
    <w:uiPriority w:val="29"/>
    <w:semiHidden/>
    <w:rsid w:val="00BC594D"/>
    <w:pPr>
      <w:overflowPunct w:val="0"/>
      <w:autoSpaceDE w:val="0"/>
      <w:autoSpaceDN w:val="0"/>
      <w:adjustRightInd w:val="0"/>
      <w:spacing w:line="240" w:lineRule="auto"/>
      <w:jc w:val="right"/>
      <w:textAlignment w:val="baseline"/>
    </w:pPr>
    <w:rPr>
      <w:rFonts w:eastAsia="Times New Roman" w:cs="Times New Roman"/>
      <w:b/>
      <w:bCs/>
    </w:rPr>
  </w:style>
  <w:style w:type="paragraph" w:customStyle="1" w:styleId="Flytning2">
    <w:name w:val="Flytning2"/>
    <w:basedOn w:val="Flytning"/>
    <w:uiPriority w:val="29"/>
    <w:semiHidden/>
    <w:rsid w:val="00BC594D"/>
    <w:pPr>
      <w:spacing w:before="120"/>
    </w:pPr>
    <w:rPr>
      <w:b w:val="0"/>
    </w:rPr>
  </w:style>
  <w:style w:type="paragraph" w:customStyle="1" w:styleId="Direkte">
    <w:name w:val="Direkte"/>
    <w:basedOn w:val="Normal"/>
    <w:next w:val="Normal"/>
    <w:uiPriority w:val="5"/>
    <w:semiHidden/>
    <w:rsid w:val="00BC594D"/>
    <w:pPr>
      <w:framePr w:w="2466" w:hSpace="142" w:vSpace="142" w:wrap="around" w:vAnchor="page" w:hAnchor="page" w:x="9413" w:y="2581" w:anchorLock="1"/>
      <w:suppressAutoHyphens/>
      <w:overflowPunct w:val="0"/>
      <w:autoSpaceDE w:val="0"/>
      <w:autoSpaceDN w:val="0"/>
      <w:adjustRightInd w:val="0"/>
      <w:spacing w:line="240" w:lineRule="auto"/>
      <w:textAlignment w:val="baseline"/>
    </w:pPr>
    <w:rPr>
      <w:rFonts w:eastAsia="MS Mincho" w:cs="Tahoma"/>
      <w:spacing w:val="-1"/>
      <w:sz w:val="14"/>
    </w:rPr>
  </w:style>
  <w:style w:type="paragraph" w:customStyle="1" w:styleId="DirekteOplysninger">
    <w:name w:val="DirekteOplysninger"/>
    <w:basedOn w:val="Normal"/>
    <w:uiPriority w:val="5"/>
    <w:semiHidden/>
    <w:qFormat/>
    <w:rsid w:val="00BC594D"/>
    <w:pPr>
      <w:overflowPunct w:val="0"/>
      <w:autoSpaceDE w:val="0"/>
      <w:autoSpaceDN w:val="0"/>
      <w:adjustRightInd w:val="0"/>
      <w:spacing w:line="240" w:lineRule="auto"/>
      <w:textAlignment w:val="baseline"/>
    </w:pPr>
    <w:rPr>
      <w:rFonts w:eastAsia="Times New Roman" w:cs="Times New Roman"/>
      <w:bCs/>
      <w:sz w:val="16"/>
      <w:szCs w:val="16"/>
    </w:rPr>
  </w:style>
  <w:style w:type="paragraph" w:customStyle="1" w:styleId="Indlg">
    <w:name w:val="Indlæg"/>
    <w:basedOn w:val="Normal"/>
    <w:uiPriority w:val="13"/>
    <w:rsid w:val="00BC594D"/>
    <w:pPr>
      <w:numPr>
        <w:numId w:val="1"/>
      </w:numPr>
      <w:spacing w:after="300"/>
    </w:pPr>
    <w:rPr>
      <w:rFonts w:eastAsia="Times New Roman" w:cs="Times New Roman"/>
      <w:szCs w:val="23"/>
    </w:rPr>
  </w:style>
  <w:style w:type="paragraph" w:customStyle="1" w:styleId="Indlgafsnit">
    <w:name w:val="Indlæg afsnit"/>
    <w:basedOn w:val="Indlg"/>
    <w:uiPriority w:val="13"/>
    <w:rsid w:val="00BC594D"/>
    <w:pPr>
      <w:numPr>
        <w:ilvl w:val="1"/>
      </w:numPr>
    </w:pPr>
  </w:style>
  <w:style w:type="paragraph" w:customStyle="1" w:styleId="notaoplysninger">
    <w:name w:val="notaoplysninger"/>
    <w:basedOn w:val="Normal"/>
    <w:uiPriority w:val="29"/>
    <w:semiHidden/>
    <w:rsid w:val="00BC594D"/>
    <w:pPr>
      <w:tabs>
        <w:tab w:val="left" w:pos="1080"/>
      </w:tabs>
      <w:overflowPunct w:val="0"/>
      <w:autoSpaceDE w:val="0"/>
      <w:autoSpaceDN w:val="0"/>
      <w:adjustRightInd w:val="0"/>
      <w:spacing w:line="240" w:lineRule="auto"/>
      <w:ind w:left="1077" w:hanging="1077"/>
      <w:textAlignment w:val="baseline"/>
    </w:pPr>
    <w:rPr>
      <w:rFonts w:eastAsia="Times New Roman" w:cs="Tahoma"/>
      <w:bCs/>
      <w:sz w:val="17"/>
    </w:rPr>
  </w:style>
  <w:style w:type="paragraph" w:customStyle="1" w:styleId="notaoverskrift">
    <w:name w:val="notaoverskrift"/>
    <w:basedOn w:val="Normal"/>
    <w:next w:val="Normal"/>
    <w:uiPriority w:val="29"/>
    <w:semiHidden/>
    <w:rsid w:val="00BC594D"/>
    <w:pPr>
      <w:overflowPunct w:val="0"/>
      <w:autoSpaceDE w:val="0"/>
      <w:autoSpaceDN w:val="0"/>
      <w:adjustRightInd w:val="0"/>
      <w:spacing w:before="200" w:after="300"/>
      <w:textAlignment w:val="baseline"/>
    </w:pPr>
    <w:rPr>
      <w:rFonts w:eastAsia="Times New Roman" w:cs="Times New Roman"/>
      <w:b/>
    </w:rPr>
  </w:style>
  <w:style w:type="paragraph" w:customStyle="1" w:styleId="PunktafsnitIndrykkettekst">
    <w:name w:val="Punktafsnit (Indrykket tekst)"/>
    <w:basedOn w:val="Normal"/>
    <w:uiPriority w:val="6"/>
    <w:rsid w:val="00BC594D"/>
    <w:pPr>
      <w:tabs>
        <w:tab w:val="left" w:pos="993"/>
      </w:tabs>
      <w:overflowPunct w:val="0"/>
      <w:autoSpaceDE w:val="0"/>
      <w:autoSpaceDN w:val="0"/>
      <w:adjustRightInd w:val="0"/>
      <w:spacing w:after="300"/>
      <w:ind w:left="992"/>
      <w:textAlignment w:val="baseline"/>
    </w:pPr>
    <w:rPr>
      <w:rFonts w:eastAsia="Times New Roman" w:cs="Times New Roman"/>
      <w:bCs/>
    </w:rPr>
  </w:style>
  <w:style w:type="paragraph" w:customStyle="1" w:styleId="PunktafsnitAlmtekst">
    <w:name w:val="Punktafsnit (Alm. tekst)"/>
    <w:basedOn w:val="PunktafsnitIndrykkettekst"/>
    <w:uiPriority w:val="6"/>
    <w:rsid w:val="00BC594D"/>
    <w:pPr>
      <w:tabs>
        <w:tab w:val="clear" w:pos="993"/>
        <w:tab w:val="left" w:pos="992"/>
      </w:tabs>
      <w:ind w:left="0"/>
    </w:pPr>
  </w:style>
  <w:style w:type="paragraph" w:customStyle="1" w:styleId="Punktafsnit1">
    <w:name w:val="Punktafsnit 1"/>
    <w:basedOn w:val="Overskrift1"/>
    <w:uiPriority w:val="7"/>
    <w:rsid w:val="00BC594D"/>
    <w:pPr>
      <w:keepNext w:val="0"/>
      <w:outlineLvl w:val="9"/>
    </w:pPr>
  </w:style>
  <w:style w:type="paragraph" w:customStyle="1" w:styleId="Punktafsnit2">
    <w:name w:val="Punktafsnit 2"/>
    <w:basedOn w:val="Overskrift2"/>
    <w:uiPriority w:val="7"/>
    <w:rsid w:val="00BC594D"/>
    <w:pPr>
      <w:keepNext w:val="0"/>
      <w:outlineLvl w:val="9"/>
    </w:pPr>
    <w:rPr>
      <w:b w:val="0"/>
    </w:rPr>
  </w:style>
  <w:style w:type="paragraph" w:customStyle="1" w:styleId="Punktafsnit3">
    <w:name w:val="Punktafsnit 3"/>
    <w:basedOn w:val="Overskrift3"/>
    <w:uiPriority w:val="7"/>
    <w:rsid w:val="00BC594D"/>
    <w:pPr>
      <w:keepNext w:val="0"/>
      <w:outlineLvl w:val="9"/>
    </w:pPr>
    <w:rPr>
      <w:b w:val="0"/>
      <w:i w:val="0"/>
    </w:rPr>
  </w:style>
  <w:style w:type="paragraph" w:customStyle="1" w:styleId="Punktafsnit4">
    <w:name w:val="Punktafsnit 4"/>
    <w:basedOn w:val="Overskrift4"/>
    <w:uiPriority w:val="7"/>
    <w:rsid w:val="00BC594D"/>
    <w:pPr>
      <w:keepNext w:val="0"/>
      <w:outlineLvl w:val="9"/>
    </w:pPr>
    <w:rPr>
      <w:i w:val="0"/>
    </w:rPr>
  </w:style>
  <w:style w:type="paragraph" w:customStyle="1" w:styleId="Punktafsnita">
    <w:name w:val="Punktafsnit a)"/>
    <w:basedOn w:val="Normal"/>
    <w:uiPriority w:val="3"/>
    <w:rsid w:val="00BC594D"/>
    <w:pPr>
      <w:numPr>
        <w:numId w:val="14"/>
      </w:numPr>
      <w:overflowPunct w:val="0"/>
      <w:autoSpaceDE w:val="0"/>
      <w:autoSpaceDN w:val="0"/>
      <w:adjustRightInd w:val="0"/>
      <w:spacing w:after="300" w:line="300" w:lineRule="exact"/>
      <w:textAlignment w:val="baseline"/>
    </w:pPr>
    <w:rPr>
      <w:rFonts w:eastAsia="Times New Roman" w:cs="Times New Roman"/>
      <w:iCs/>
      <w:szCs w:val="28"/>
    </w:rPr>
  </w:style>
  <w:style w:type="paragraph" w:customStyle="1" w:styleId="PunktafsnitA0">
    <w:name w:val="Punktafsnit A)"/>
    <w:basedOn w:val="Punktafsnita"/>
    <w:uiPriority w:val="5"/>
    <w:rsid w:val="00BC594D"/>
    <w:pPr>
      <w:numPr>
        <w:ilvl w:val="2"/>
      </w:numPr>
    </w:pPr>
  </w:style>
  <w:style w:type="paragraph" w:customStyle="1" w:styleId="Punktafsniti">
    <w:name w:val="Punktafsnit i)"/>
    <w:basedOn w:val="Punktafsnita"/>
    <w:uiPriority w:val="4"/>
    <w:rsid w:val="00BC594D"/>
    <w:pPr>
      <w:numPr>
        <w:ilvl w:val="1"/>
      </w:numPr>
    </w:pPr>
  </w:style>
  <w:style w:type="numbering" w:customStyle="1" w:styleId="PunktfsnitNumbering">
    <w:name w:val="Punktfsnit Numbering"/>
    <w:uiPriority w:val="99"/>
    <w:rsid w:val="00BC594D"/>
    <w:pPr>
      <w:numPr>
        <w:numId w:val="15"/>
      </w:numPr>
    </w:pPr>
  </w:style>
  <w:style w:type="paragraph" w:customStyle="1" w:styleId="Punktopstilling">
    <w:name w:val="Punktopstilling"/>
    <w:basedOn w:val="Normal"/>
    <w:uiPriority w:val="2"/>
    <w:rsid w:val="00BC594D"/>
    <w:pPr>
      <w:numPr>
        <w:numId w:val="16"/>
      </w:numPr>
      <w:tabs>
        <w:tab w:val="clear" w:pos="964"/>
      </w:tabs>
      <w:overflowPunct w:val="0"/>
      <w:autoSpaceDE w:val="0"/>
      <w:autoSpaceDN w:val="0"/>
      <w:adjustRightInd w:val="0"/>
      <w:spacing w:after="300"/>
      <w:ind w:left="1417" w:hanging="425"/>
      <w:contextualSpacing/>
      <w:textAlignment w:val="baseline"/>
    </w:pPr>
    <w:rPr>
      <w:rFonts w:eastAsia="Times New Roman" w:cs="Times New Roman"/>
      <w:bCs/>
    </w:rPr>
  </w:style>
  <w:style w:type="paragraph" w:customStyle="1" w:styleId="SagsnrFelt">
    <w:name w:val="SagsnrFelt"/>
    <w:basedOn w:val="Normal"/>
    <w:next w:val="DirekteOplysninger"/>
    <w:uiPriority w:val="29"/>
    <w:semiHidden/>
    <w:rsid w:val="00BC594D"/>
    <w:pPr>
      <w:overflowPunct w:val="0"/>
      <w:autoSpaceDE w:val="0"/>
      <w:autoSpaceDN w:val="0"/>
      <w:adjustRightInd w:val="0"/>
      <w:spacing w:after="200" w:line="220" w:lineRule="exact"/>
      <w:textAlignment w:val="baseline"/>
    </w:pPr>
    <w:rPr>
      <w:rFonts w:eastAsia="Times New Roman" w:cs="Times New Roman"/>
      <w:bCs/>
      <w:sz w:val="16"/>
      <w:szCs w:val="16"/>
    </w:rPr>
  </w:style>
  <w:style w:type="character" w:customStyle="1" w:styleId="Stilling">
    <w:name w:val="Stilling"/>
    <w:uiPriority w:val="29"/>
    <w:semiHidden/>
    <w:rsid w:val="00BC594D"/>
    <w:rPr>
      <w:i/>
      <w:color w:val="auto"/>
      <w:szCs w:val="23"/>
      <w:lang w:val="da-DK"/>
    </w:rPr>
  </w:style>
  <w:style w:type="paragraph" w:styleId="Opstilling-punkttegn2">
    <w:name w:val="List Bullet 2"/>
    <w:basedOn w:val="Normal"/>
    <w:uiPriority w:val="2"/>
    <w:semiHidden/>
    <w:rsid w:val="00BC594D"/>
    <w:pPr>
      <w:numPr>
        <w:numId w:val="3"/>
      </w:numPr>
      <w:overflowPunct w:val="0"/>
      <w:autoSpaceDE w:val="0"/>
      <w:autoSpaceDN w:val="0"/>
      <w:adjustRightInd w:val="0"/>
      <w:textAlignment w:val="baseline"/>
    </w:pPr>
    <w:rPr>
      <w:rFonts w:eastAsia="Times New Roman" w:cs="Times New Roman"/>
      <w:bCs/>
    </w:rPr>
  </w:style>
  <w:style w:type="paragraph" w:styleId="Opstilling-punkttegn3">
    <w:name w:val="List Bullet 3"/>
    <w:basedOn w:val="Normal"/>
    <w:uiPriority w:val="2"/>
    <w:semiHidden/>
    <w:rsid w:val="00BC594D"/>
    <w:pPr>
      <w:numPr>
        <w:numId w:val="4"/>
      </w:numPr>
      <w:overflowPunct w:val="0"/>
      <w:autoSpaceDE w:val="0"/>
      <w:autoSpaceDN w:val="0"/>
      <w:adjustRightInd w:val="0"/>
      <w:textAlignment w:val="baseline"/>
    </w:pPr>
    <w:rPr>
      <w:rFonts w:eastAsia="Times New Roman" w:cs="Times New Roman"/>
      <w:bCs/>
    </w:rPr>
  </w:style>
  <w:style w:type="paragraph" w:styleId="Opstilling-punkttegn4">
    <w:name w:val="List Bullet 4"/>
    <w:basedOn w:val="Normal"/>
    <w:uiPriority w:val="2"/>
    <w:semiHidden/>
    <w:rsid w:val="00BC594D"/>
    <w:pPr>
      <w:numPr>
        <w:numId w:val="5"/>
      </w:numPr>
      <w:overflowPunct w:val="0"/>
      <w:autoSpaceDE w:val="0"/>
      <w:autoSpaceDN w:val="0"/>
      <w:adjustRightInd w:val="0"/>
      <w:textAlignment w:val="baseline"/>
    </w:pPr>
    <w:rPr>
      <w:rFonts w:eastAsia="Times New Roman" w:cs="Times New Roman"/>
      <w:bCs/>
    </w:rPr>
  </w:style>
  <w:style w:type="paragraph" w:styleId="Opstilling-punkttegn5">
    <w:name w:val="List Bullet 5"/>
    <w:basedOn w:val="Normal"/>
    <w:uiPriority w:val="2"/>
    <w:semiHidden/>
    <w:rsid w:val="00BC594D"/>
    <w:pPr>
      <w:numPr>
        <w:numId w:val="6"/>
      </w:numPr>
      <w:overflowPunct w:val="0"/>
      <w:autoSpaceDE w:val="0"/>
      <w:autoSpaceDN w:val="0"/>
      <w:adjustRightInd w:val="0"/>
      <w:textAlignment w:val="baseline"/>
    </w:pPr>
    <w:rPr>
      <w:rFonts w:eastAsia="Times New Roman" w:cs="Times New Roman"/>
      <w:bCs/>
    </w:rPr>
  </w:style>
  <w:style w:type="paragraph" w:styleId="Opstilling-talellerbogst2">
    <w:name w:val="List Number 2"/>
    <w:basedOn w:val="Normal"/>
    <w:uiPriority w:val="2"/>
    <w:semiHidden/>
    <w:rsid w:val="00BC594D"/>
    <w:pPr>
      <w:numPr>
        <w:numId w:val="8"/>
      </w:numPr>
      <w:overflowPunct w:val="0"/>
      <w:autoSpaceDE w:val="0"/>
      <w:autoSpaceDN w:val="0"/>
      <w:adjustRightInd w:val="0"/>
      <w:textAlignment w:val="baseline"/>
    </w:pPr>
    <w:rPr>
      <w:rFonts w:eastAsia="Times New Roman" w:cs="Times New Roman"/>
      <w:bCs/>
    </w:rPr>
  </w:style>
  <w:style w:type="paragraph" w:styleId="Opstilling-talellerbogst3">
    <w:name w:val="List Number 3"/>
    <w:basedOn w:val="Normal"/>
    <w:uiPriority w:val="2"/>
    <w:semiHidden/>
    <w:rsid w:val="00BC594D"/>
    <w:pPr>
      <w:numPr>
        <w:numId w:val="9"/>
      </w:numPr>
      <w:overflowPunct w:val="0"/>
      <w:autoSpaceDE w:val="0"/>
      <w:autoSpaceDN w:val="0"/>
      <w:adjustRightInd w:val="0"/>
      <w:textAlignment w:val="baseline"/>
    </w:pPr>
    <w:rPr>
      <w:rFonts w:eastAsia="Times New Roman" w:cs="Times New Roman"/>
      <w:bCs/>
    </w:rPr>
  </w:style>
  <w:style w:type="paragraph" w:styleId="Opstilling-talellerbogst4">
    <w:name w:val="List Number 4"/>
    <w:basedOn w:val="Normal"/>
    <w:uiPriority w:val="2"/>
    <w:semiHidden/>
    <w:rsid w:val="00BC594D"/>
    <w:pPr>
      <w:numPr>
        <w:numId w:val="10"/>
      </w:numPr>
      <w:overflowPunct w:val="0"/>
      <w:autoSpaceDE w:val="0"/>
      <w:autoSpaceDN w:val="0"/>
      <w:adjustRightInd w:val="0"/>
      <w:textAlignment w:val="baseline"/>
    </w:pPr>
    <w:rPr>
      <w:rFonts w:eastAsia="Times New Roman" w:cs="Times New Roman"/>
      <w:bCs/>
    </w:rPr>
  </w:style>
  <w:style w:type="paragraph" w:styleId="Opstilling-talellerbogst5">
    <w:name w:val="List Number 5"/>
    <w:basedOn w:val="Normal"/>
    <w:uiPriority w:val="2"/>
    <w:semiHidden/>
    <w:rsid w:val="00BC594D"/>
    <w:pPr>
      <w:numPr>
        <w:numId w:val="11"/>
      </w:numPr>
      <w:overflowPunct w:val="0"/>
      <w:autoSpaceDE w:val="0"/>
      <w:autoSpaceDN w:val="0"/>
      <w:adjustRightInd w:val="0"/>
      <w:textAlignment w:val="baseline"/>
    </w:pPr>
    <w:rPr>
      <w:rFonts w:eastAsia="Times New Roman" w:cs="Times New Roman"/>
      <w:bCs/>
    </w:rPr>
  </w:style>
  <w:style w:type="paragraph" w:customStyle="1" w:styleId="Parter">
    <w:name w:val="Parter"/>
    <w:basedOn w:val="PunktafsnitAlmtekst"/>
    <w:uiPriority w:val="3"/>
    <w:rsid w:val="00BC594D"/>
    <w:pPr>
      <w:numPr>
        <w:numId w:val="12"/>
      </w:numPr>
    </w:pPr>
  </w:style>
  <w:style w:type="paragraph" w:styleId="Markeringsbobletekst">
    <w:name w:val="Balloon Text"/>
    <w:basedOn w:val="Normal"/>
    <w:link w:val="MarkeringsbobletekstTegn"/>
    <w:uiPriority w:val="99"/>
    <w:semiHidden/>
    <w:rsid w:val="00BC594D"/>
    <w:pPr>
      <w:spacing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BC594D"/>
    <w:rPr>
      <w:rFonts w:ascii="Segoe UI" w:hAnsi="Segoe UI" w:cs="Segoe UI"/>
      <w:sz w:val="18"/>
      <w:szCs w:val="18"/>
      <w:lang w:val="da-DK"/>
    </w:rPr>
  </w:style>
  <w:style w:type="paragraph" w:styleId="Bibliografi">
    <w:name w:val="Bibliography"/>
    <w:basedOn w:val="Normal"/>
    <w:next w:val="Normal"/>
    <w:uiPriority w:val="99"/>
    <w:semiHidden/>
    <w:unhideWhenUsed/>
    <w:rsid w:val="00BC594D"/>
  </w:style>
  <w:style w:type="paragraph" w:styleId="Brdtekst">
    <w:name w:val="Body Text"/>
    <w:basedOn w:val="Normal"/>
    <w:link w:val="BrdtekstTegn"/>
    <w:uiPriority w:val="99"/>
    <w:semiHidden/>
    <w:rsid w:val="00BC594D"/>
    <w:pPr>
      <w:spacing w:after="120"/>
    </w:pPr>
  </w:style>
  <w:style w:type="character" w:customStyle="1" w:styleId="BrdtekstTegn">
    <w:name w:val="Brødtekst Tegn"/>
    <w:basedOn w:val="Standardskrifttypeiafsnit"/>
    <w:link w:val="Brdtekst"/>
    <w:uiPriority w:val="99"/>
    <w:semiHidden/>
    <w:rsid w:val="00BC594D"/>
    <w:rPr>
      <w:lang w:val="da-DK"/>
    </w:rPr>
  </w:style>
  <w:style w:type="paragraph" w:styleId="Brdtekst2">
    <w:name w:val="Body Text 2"/>
    <w:basedOn w:val="Normal"/>
    <w:link w:val="Brdtekst2Tegn"/>
    <w:uiPriority w:val="99"/>
    <w:semiHidden/>
    <w:rsid w:val="00BC594D"/>
    <w:pPr>
      <w:spacing w:after="120" w:line="480" w:lineRule="auto"/>
    </w:pPr>
  </w:style>
  <w:style w:type="character" w:customStyle="1" w:styleId="Brdtekst2Tegn">
    <w:name w:val="Brødtekst 2 Tegn"/>
    <w:basedOn w:val="Standardskrifttypeiafsnit"/>
    <w:link w:val="Brdtekst2"/>
    <w:uiPriority w:val="99"/>
    <w:semiHidden/>
    <w:rsid w:val="00BC594D"/>
    <w:rPr>
      <w:lang w:val="da-DK"/>
    </w:rPr>
  </w:style>
  <w:style w:type="paragraph" w:styleId="Brdtekst3">
    <w:name w:val="Body Text 3"/>
    <w:basedOn w:val="Normal"/>
    <w:link w:val="Brdtekst3Tegn"/>
    <w:uiPriority w:val="99"/>
    <w:semiHidden/>
    <w:rsid w:val="00BC594D"/>
    <w:pPr>
      <w:spacing w:after="120"/>
    </w:pPr>
    <w:rPr>
      <w:sz w:val="16"/>
      <w:szCs w:val="16"/>
    </w:rPr>
  </w:style>
  <w:style w:type="character" w:customStyle="1" w:styleId="Brdtekst3Tegn">
    <w:name w:val="Brødtekst 3 Tegn"/>
    <w:basedOn w:val="Standardskrifttypeiafsnit"/>
    <w:link w:val="Brdtekst3"/>
    <w:uiPriority w:val="99"/>
    <w:semiHidden/>
    <w:rsid w:val="00BC594D"/>
    <w:rPr>
      <w:sz w:val="16"/>
      <w:szCs w:val="16"/>
      <w:lang w:val="da-DK"/>
    </w:rPr>
  </w:style>
  <w:style w:type="paragraph" w:styleId="Brdtekst-frstelinjeindrykning1">
    <w:name w:val="Body Text First Indent"/>
    <w:basedOn w:val="Brdtekst"/>
    <w:link w:val="Brdtekst-frstelinjeindrykning1Tegn"/>
    <w:uiPriority w:val="99"/>
    <w:semiHidden/>
    <w:rsid w:val="00BC594D"/>
    <w:pPr>
      <w:spacing w:after="0"/>
      <w:ind w:firstLine="360"/>
    </w:pPr>
  </w:style>
  <w:style w:type="character" w:customStyle="1" w:styleId="Brdtekst-frstelinjeindrykning1Tegn">
    <w:name w:val="Brødtekst - førstelinjeindrykning 1 Tegn"/>
    <w:basedOn w:val="BrdtekstTegn"/>
    <w:link w:val="Brdtekst-frstelinjeindrykning1"/>
    <w:uiPriority w:val="99"/>
    <w:semiHidden/>
    <w:rsid w:val="00BC594D"/>
    <w:rPr>
      <w:lang w:val="da-DK"/>
    </w:rPr>
  </w:style>
  <w:style w:type="paragraph" w:styleId="Brdtekstindrykning">
    <w:name w:val="Body Text Indent"/>
    <w:basedOn w:val="Normal"/>
    <w:link w:val="BrdtekstindrykningTegn"/>
    <w:uiPriority w:val="99"/>
    <w:semiHidden/>
    <w:rsid w:val="00BC594D"/>
    <w:pPr>
      <w:spacing w:after="120"/>
      <w:ind w:left="283"/>
    </w:pPr>
  </w:style>
  <w:style w:type="character" w:customStyle="1" w:styleId="BrdtekstindrykningTegn">
    <w:name w:val="Brødtekstindrykning Tegn"/>
    <w:basedOn w:val="Standardskrifttypeiafsnit"/>
    <w:link w:val="Brdtekstindrykning"/>
    <w:uiPriority w:val="99"/>
    <w:semiHidden/>
    <w:rsid w:val="00BC594D"/>
    <w:rPr>
      <w:lang w:val="da-DK"/>
    </w:rPr>
  </w:style>
  <w:style w:type="paragraph" w:styleId="Brdtekst-frstelinjeindrykning2">
    <w:name w:val="Body Text First Indent 2"/>
    <w:basedOn w:val="Brdtekstindrykning"/>
    <w:link w:val="Brdtekst-frstelinjeindrykning2Tegn"/>
    <w:uiPriority w:val="99"/>
    <w:semiHidden/>
    <w:rsid w:val="00BC594D"/>
    <w:pPr>
      <w:spacing w:after="0"/>
      <w:ind w:left="360" w:firstLine="360"/>
    </w:pPr>
  </w:style>
  <w:style w:type="character" w:customStyle="1" w:styleId="Brdtekst-frstelinjeindrykning2Tegn">
    <w:name w:val="Brødtekst - førstelinjeindrykning 2 Tegn"/>
    <w:basedOn w:val="BrdtekstindrykningTegn"/>
    <w:link w:val="Brdtekst-frstelinjeindrykning2"/>
    <w:uiPriority w:val="99"/>
    <w:semiHidden/>
    <w:rsid w:val="00BC594D"/>
    <w:rPr>
      <w:lang w:val="da-DK"/>
    </w:rPr>
  </w:style>
  <w:style w:type="paragraph" w:styleId="Brdtekstindrykning2">
    <w:name w:val="Body Text Indent 2"/>
    <w:basedOn w:val="Normal"/>
    <w:link w:val="Brdtekstindrykning2Tegn"/>
    <w:uiPriority w:val="99"/>
    <w:semiHidden/>
    <w:rsid w:val="00BC594D"/>
    <w:pPr>
      <w:spacing w:after="120" w:line="480" w:lineRule="auto"/>
      <w:ind w:left="283"/>
    </w:pPr>
  </w:style>
  <w:style w:type="character" w:customStyle="1" w:styleId="Brdtekstindrykning2Tegn">
    <w:name w:val="Brødtekstindrykning 2 Tegn"/>
    <w:basedOn w:val="Standardskrifttypeiafsnit"/>
    <w:link w:val="Brdtekstindrykning2"/>
    <w:uiPriority w:val="99"/>
    <w:semiHidden/>
    <w:rsid w:val="00BC594D"/>
    <w:rPr>
      <w:lang w:val="da-DK"/>
    </w:rPr>
  </w:style>
  <w:style w:type="paragraph" w:styleId="Brdtekstindrykning3">
    <w:name w:val="Body Text Indent 3"/>
    <w:basedOn w:val="Normal"/>
    <w:link w:val="Brdtekstindrykning3Tegn"/>
    <w:uiPriority w:val="99"/>
    <w:semiHidden/>
    <w:rsid w:val="00BC594D"/>
    <w:pPr>
      <w:spacing w:after="120"/>
      <w:ind w:left="283"/>
    </w:pPr>
    <w:rPr>
      <w:sz w:val="16"/>
      <w:szCs w:val="16"/>
    </w:rPr>
  </w:style>
  <w:style w:type="character" w:customStyle="1" w:styleId="Brdtekstindrykning3Tegn">
    <w:name w:val="Brødtekstindrykning 3 Tegn"/>
    <w:basedOn w:val="Standardskrifttypeiafsnit"/>
    <w:link w:val="Brdtekstindrykning3"/>
    <w:uiPriority w:val="99"/>
    <w:semiHidden/>
    <w:rsid w:val="00BC594D"/>
    <w:rPr>
      <w:sz w:val="16"/>
      <w:szCs w:val="16"/>
      <w:lang w:val="da-DK"/>
    </w:rPr>
  </w:style>
  <w:style w:type="paragraph" w:styleId="Sluthilsen">
    <w:name w:val="Closing"/>
    <w:basedOn w:val="Normal"/>
    <w:link w:val="SluthilsenTegn"/>
    <w:uiPriority w:val="99"/>
    <w:semiHidden/>
    <w:rsid w:val="00BC594D"/>
    <w:pPr>
      <w:spacing w:line="240" w:lineRule="auto"/>
      <w:ind w:left="4252"/>
    </w:pPr>
  </w:style>
  <w:style w:type="character" w:customStyle="1" w:styleId="SluthilsenTegn">
    <w:name w:val="Sluthilsen Tegn"/>
    <w:basedOn w:val="Standardskrifttypeiafsnit"/>
    <w:link w:val="Sluthilsen"/>
    <w:uiPriority w:val="99"/>
    <w:semiHidden/>
    <w:rsid w:val="00BC594D"/>
    <w:rPr>
      <w:lang w:val="da-DK"/>
    </w:rPr>
  </w:style>
  <w:style w:type="table" w:styleId="Farvetgitter">
    <w:name w:val="Colorful Grid"/>
    <w:basedOn w:val="Tabel-Normal"/>
    <w:uiPriority w:val="73"/>
    <w:semiHidden/>
    <w:unhideWhenUsed/>
    <w:rsid w:val="00BC594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vetgitter-fremhvningsfarve1">
    <w:name w:val="Colorful Grid Accent 1"/>
    <w:basedOn w:val="Tabel-Normal"/>
    <w:uiPriority w:val="73"/>
    <w:semiHidden/>
    <w:unhideWhenUsed/>
    <w:rsid w:val="00BC594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1E7E9" w:themeFill="accent1" w:themeFillTint="33"/>
    </w:tcPr>
    <w:tblStylePr w:type="firstRow">
      <w:rPr>
        <w:b/>
        <w:bCs/>
      </w:rPr>
      <w:tblPr/>
      <w:tcPr>
        <w:shd w:val="clear" w:color="auto" w:fill="C3CFD4" w:themeFill="accent1" w:themeFillTint="66"/>
      </w:tcPr>
    </w:tblStylePr>
    <w:tblStylePr w:type="lastRow">
      <w:rPr>
        <w:b/>
        <w:bCs/>
        <w:color w:val="000000" w:themeColor="text1"/>
      </w:rPr>
      <w:tblPr/>
      <w:tcPr>
        <w:shd w:val="clear" w:color="auto" w:fill="C3CFD4" w:themeFill="accent1" w:themeFillTint="66"/>
      </w:tcPr>
    </w:tblStylePr>
    <w:tblStylePr w:type="firstCol">
      <w:rPr>
        <w:color w:val="FFFFFF" w:themeColor="background1"/>
      </w:rPr>
      <w:tblPr/>
      <w:tcPr>
        <w:shd w:val="clear" w:color="auto" w:fill="50666E" w:themeFill="accent1" w:themeFillShade="BF"/>
      </w:tcPr>
    </w:tblStylePr>
    <w:tblStylePr w:type="lastCol">
      <w:rPr>
        <w:color w:val="FFFFFF" w:themeColor="background1"/>
      </w:rPr>
      <w:tblPr/>
      <w:tcPr>
        <w:shd w:val="clear" w:color="auto" w:fill="50666E" w:themeFill="accent1" w:themeFillShade="BF"/>
      </w:tcPr>
    </w:tblStylePr>
    <w:tblStylePr w:type="band1Vert">
      <w:tblPr/>
      <w:tcPr>
        <w:shd w:val="clear" w:color="auto" w:fill="B5C4C9" w:themeFill="accent1" w:themeFillTint="7F"/>
      </w:tcPr>
    </w:tblStylePr>
    <w:tblStylePr w:type="band1Horz">
      <w:tblPr/>
      <w:tcPr>
        <w:shd w:val="clear" w:color="auto" w:fill="B5C4C9" w:themeFill="accent1" w:themeFillTint="7F"/>
      </w:tcPr>
    </w:tblStylePr>
  </w:style>
  <w:style w:type="table" w:styleId="Farvetgitter-fremhvningsfarve2">
    <w:name w:val="Colorful Grid Accent 2"/>
    <w:basedOn w:val="Tabel-Normal"/>
    <w:uiPriority w:val="73"/>
    <w:semiHidden/>
    <w:unhideWhenUsed/>
    <w:rsid w:val="00BC594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B1EAFF" w:themeFill="accent2" w:themeFillTint="33"/>
    </w:tcPr>
    <w:tblStylePr w:type="firstRow">
      <w:rPr>
        <w:b/>
        <w:bCs/>
      </w:rPr>
      <w:tblPr/>
      <w:tcPr>
        <w:shd w:val="clear" w:color="auto" w:fill="63D6FF" w:themeFill="accent2" w:themeFillTint="66"/>
      </w:tcPr>
    </w:tblStylePr>
    <w:tblStylePr w:type="lastRow">
      <w:rPr>
        <w:b/>
        <w:bCs/>
        <w:color w:val="000000" w:themeColor="text1"/>
      </w:rPr>
      <w:tblPr/>
      <w:tcPr>
        <w:shd w:val="clear" w:color="auto" w:fill="63D6FF" w:themeFill="accent2" w:themeFillTint="66"/>
      </w:tcPr>
    </w:tblStylePr>
    <w:tblStylePr w:type="firstCol">
      <w:rPr>
        <w:color w:val="FFFFFF" w:themeColor="background1"/>
      </w:rPr>
      <w:tblPr/>
      <w:tcPr>
        <w:shd w:val="clear" w:color="auto" w:fill="004259" w:themeFill="accent2" w:themeFillShade="BF"/>
      </w:tcPr>
    </w:tblStylePr>
    <w:tblStylePr w:type="lastCol">
      <w:rPr>
        <w:color w:val="FFFFFF" w:themeColor="background1"/>
      </w:rPr>
      <w:tblPr/>
      <w:tcPr>
        <w:shd w:val="clear" w:color="auto" w:fill="004259" w:themeFill="accent2" w:themeFillShade="BF"/>
      </w:tcPr>
    </w:tblStylePr>
    <w:tblStylePr w:type="band1Vert">
      <w:tblPr/>
      <w:tcPr>
        <w:shd w:val="clear" w:color="auto" w:fill="3CCCFF" w:themeFill="accent2" w:themeFillTint="7F"/>
      </w:tcPr>
    </w:tblStylePr>
    <w:tblStylePr w:type="band1Horz">
      <w:tblPr/>
      <w:tcPr>
        <w:shd w:val="clear" w:color="auto" w:fill="3CCCFF" w:themeFill="accent2" w:themeFillTint="7F"/>
      </w:tcPr>
    </w:tblStylePr>
  </w:style>
  <w:style w:type="table" w:styleId="Farvetgitter-fremhvningsfarve3">
    <w:name w:val="Colorful Grid Accent 3"/>
    <w:basedOn w:val="Tabel-Normal"/>
    <w:uiPriority w:val="73"/>
    <w:semiHidden/>
    <w:unhideWhenUsed/>
    <w:rsid w:val="00BC594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7F5FC" w:themeFill="accent3" w:themeFillTint="33"/>
    </w:tcPr>
    <w:tblStylePr w:type="firstRow">
      <w:rPr>
        <w:b/>
        <w:bCs/>
      </w:rPr>
      <w:tblPr/>
      <w:tcPr>
        <w:shd w:val="clear" w:color="auto" w:fill="CFECF9" w:themeFill="accent3" w:themeFillTint="66"/>
      </w:tcPr>
    </w:tblStylePr>
    <w:tblStylePr w:type="lastRow">
      <w:rPr>
        <w:b/>
        <w:bCs/>
        <w:color w:val="000000" w:themeColor="text1"/>
      </w:rPr>
      <w:tblPr/>
      <w:tcPr>
        <w:shd w:val="clear" w:color="auto" w:fill="CFECF9" w:themeFill="accent3" w:themeFillTint="66"/>
      </w:tcPr>
    </w:tblStylePr>
    <w:tblStylePr w:type="firstCol">
      <w:rPr>
        <w:color w:val="FFFFFF" w:themeColor="background1"/>
      </w:rPr>
      <w:tblPr/>
      <w:tcPr>
        <w:shd w:val="clear" w:color="auto" w:fill="34B1E6" w:themeFill="accent3" w:themeFillShade="BF"/>
      </w:tcPr>
    </w:tblStylePr>
    <w:tblStylePr w:type="lastCol">
      <w:rPr>
        <w:color w:val="FFFFFF" w:themeColor="background1"/>
      </w:rPr>
      <w:tblPr/>
      <w:tcPr>
        <w:shd w:val="clear" w:color="auto" w:fill="34B1E6" w:themeFill="accent3" w:themeFillShade="BF"/>
      </w:tcPr>
    </w:tblStylePr>
    <w:tblStylePr w:type="band1Vert">
      <w:tblPr/>
      <w:tcPr>
        <w:shd w:val="clear" w:color="auto" w:fill="C4E8F8" w:themeFill="accent3" w:themeFillTint="7F"/>
      </w:tcPr>
    </w:tblStylePr>
    <w:tblStylePr w:type="band1Horz">
      <w:tblPr/>
      <w:tcPr>
        <w:shd w:val="clear" w:color="auto" w:fill="C4E8F8" w:themeFill="accent3" w:themeFillTint="7F"/>
      </w:tcPr>
    </w:tblStylePr>
  </w:style>
  <w:style w:type="table" w:styleId="Farvetgitter-fremhvningsfarve4">
    <w:name w:val="Colorful Grid Accent 4"/>
    <w:basedOn w:val="Tabel-Normal"/>
    <w:uiPriority w:val="73"/>
    <w:semiHidden/>
    <w:unhideWhenUsed/>
    <w:rsid w:val="00BC594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FEDDF" w:themeFill="accent4" w:themeFillTint="33"/>
    </w:tcPr>
    <w:tblStylePr w:type="firstRow">
      <w:rPr>
        <w:b/>
        <w:bCs/>
      </w:rPr>
      <w:tblPr/>
      <w:tcPr>
        <w:shd w:val="clear" w:color="auto" w:fill="FFDBC0" w:themeFill="accent4" w:themeFillTint="66"/>
      </w:tcPr>
    </w:tblStylePr>
    <w:tblStylePr w:type="lastRow">
      <w:rPr>
        <w:b/>
        <w:bCs/>
        <w:color w:val="000000" w:themeColor="text1"/>
      </w:rPr>
      <w:tblPr/>
      <w:tcPr>
        <w:shd w:val="clear" w:color="auto" w:fill="FFDBC0" w:themeFill="accent4" w:themeFillTint="66"/>
      </w:tcPr>
    </w:tblStylePr>
    <w:tblStylePr w:type="firstCol">
      <w:rPr>
        <w:color w:val="FFFFFF" w:themeColor="background1"/>
      </w:rPr>
      <w:tblPr/>
      <w:tcPr>
        <w:shd w:val="clear" w:color="auto" w:fill="FF740A" w:themeFill="accent4" w:themeFillShade="BF"/>
      </w:tcPr>
    </w:tblStylePr>
    <w:tblStylePr w:type="lastCol">
      <w:rPr>
        <w:color w:val="FFFFFF" w:themeColor="background1"/>
      </w:rPr>
      <w:tblPr/>
      <w:tcPr>
        <w:shd w:val="clear" w:color="auto" w:fill="FF740A" w:themeFill="accent4" w:themeFillShade="BF"/>
      </w:tcPr>
    </w:tblStylePr>
    <w:tblStylePr w:type="band1Vert">
      <w:tblPr/>
      <w:tcPr>
        <w:shd w:val="clear" w:color="auto" w:fill="FFD2B1" w:themeFill="accent4" w:themeFillTint="7F"/>
      </w:tcPr>
    </w:tblStylePr>
    <w:tblStylePr w:type="band1Horz">
      <w:tblPr/>
      <w:tcPr>
        <w:shd w:val="clear" w:color="auto" w:fill="FFD2B1" w:themeFill="accent4" w:themeFillTint="7F"/>
      </w:tcPr>
    </w:tblStylePr>
  </w:style>
  <w:style w:type="table" w:styleId="Farvetgitter-fremhvningsfarve5">
    <w:name w:val="Colorful Grid Accent 5"/>
    <w:basedOn w:val="Tabel-Normal"/>
    <w:uiPriority w:val="73"/>
    <w:semiHidden/>
    <w:unhideWhenUsed/>
    <w:rsid w:val="00BC594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F6E8" w:themeFill="accent5" w:themeFillTint="33"/>
    </w:tcPr>
    <w:tblStylePr w:type="firstRow">
      <w:rPr>
        <w:b/>
        <w:bCs/>
      </w:rPr>
      <w:tblPr/>
      <w:tcPr>
        <w:shd w:val="clear" w:color="auto" w:fill="B8EED2" w:themeFill="accent5" w:themeFillTint="66"/>
      </w:tcPr>
    </w:tblStylePr>
    <w:tblStylePr w:type="lastRow">
      <w:rPr>
        <w:b/>
        <w:bCs/>
        <w:color w:val="000000" w:themeColor="text1"/>
      </w:rPr>
      <w:tblPr/>
      <w:tcPr>
        <w:shd w:val="clear" w:color="auto" w:fill="B8EED2" w:themeFill="accent5" w:themeFillTint="66"/>
      </w:tcPr>
    </w:tblStylePr>
    <w:tblStylePr w:type="firstCol">
      <w:rPr>
        <w:color w:val="FFFFFF" w:themeColor="background1"/>
      </w:rPr>
      <w:tblPr/>
      <w:tcPr>
        <w:shd w:val="clear" w:color="auto" w:fill="29B26B" w:themeFill="accent5" w:themeFillShade="BF"/>
      </w:tcPr>
    </w:tblStylePr>
    <w:tblStylePr w:type="lastCol">
      <w:rPr>
        <w:color w:val="FFFFFF" w:themeColor="background1"/>
      </w:rPr>
      <w:tblPr/>
      <w:tcPr>
        <w:shd w:val="clear" w:color="auto" w:fill="29B26B" w:themeFill="accent5" w:themeFillShade="BF"/>
      </w:tcPr>
    </w:tblStylePr>
    <w:tblStylePr w:type="band1Vert">
      <w:tblPr/>
      <w:tcPr>
        <w:shd w:val="clear" w:color="auto" w:fill="A7EAC7" w:themeFill="accent5" w:themeFillTint="7F"/>
      </w:tcPr>
    </w:tblStylePr>
    <w:tblStylePr w:type="band1Horz">
      <w:tblPr/>
      <w:tcPr>
        <w:shd w:val="clear" w:color="auto" w:fill="A7EAC7" w:themeFill="accent5" w:themeFillTint="7F"/>
      </w:tcPr>
    </w:tblStylePr>
  </w:style>
  <w:style w:type="table" w:styleId="Farvetgitter-fremhvningsfarve6">
    <w:name w:val="Colorful Grid Accent 6"/>
    <w:basedOn w:val="Tabel-Normal"/>
    <w:uiPriority w:val="73"/>
    <w:semiHidden/>
    <w:unhideWhenUsed/>
    <w:rsid w:val="00BC594D"/>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FF7C8" w:themeFill="accent6" w:themeFillTint="33"/>
    </w:tcPr>
    <w:tblStylePr w:type="firstRow">
      <w:rPr>
        <w:b/>
        <w:bCs/>
      </w:rPr>
      <w:tblPr/>
      <w:tcPr>
        <w:shd w:val="clear" w:color="auto" w:fill="FFF092" w:themeFill="accent6" w:themeFillTint="66"/>
      </w:tcPr>
    </w:tblStylePr>
    <w:tblStylePr w:type="lastRow">
      <w:rPr>
        <w:b/>
        <w:bCs/>
        <w:color w:val="000000" w:themeColor="text1"/>
      </w:rPr>
      <w:tblPr/>
      <w:tcPr>
        <w:shd w:val="clear" w:color="auto" w:fill="FFF092" w:themeFill="accent6" w:themeFillTint="66"/>
      </w:tcPr>
    </w:tblStylePr>
    <w:tblStylePr w:type="firstCol">
      <w:rPr>
        <w:color w:val="FFFFFF" w:themeColor="background1"/>
      </w:rPr>
      <w:tblPr/>
      <w:tcPr>
        <w:shd w:val="clear" w:color="auto" w:fill="B39A00" w:themeFill="accent6" w:themeFillShade="BF"/>
      </w:tcPr>
    </w:tblStylePr>
    <w:tblStylePr w:type="lastCol">
      <w:rPr>
        <w:color w:val="FFFFFF" w:themeColor="background1"/>
      </w:rPr>
      <w:tblPr/>
      <w:tcPr>
        <w:shd w:val="clear" w:color="auto" w:fill="B39A00" w:themeFill="accent6" w:themeFillShade="BF"/>
      </w:tcPr>
    </w:tblStylePr>
    <w:tblStylePr w:type="band1Vert">
      <w:tblPr/>
      <w:tcPr>
        <w:shd w:val="clear" w:color="auto" w:fill="FFEC78" w:themeFill="accent6" w:themeFillTint="7F"/>
      </w:tcPr>
    </w:tblStylePr>
    <w:tblStylePr w:type="band1Horz">
      <w:tblPr/>
      <w:tcPr>
        <w:shd w:val="clear" w:color="auto" w:fill="FFEC78" w:themeFill="accent6" w:themeFillTint="7F"/>
      </w:tcPr>
    </w:tblStylePr>
  </w:style>
  <w:style w:type="table" w:styleId="Farvetliste">
    <w:name w:val="Colorful List"/>
    <w:basedOn w:val="Tabel-Normal"/>
    <w:uiPriority w:val="72"/>
    <w:semiHidden/>
    <w:unhideWhenUsed/>
    <w:rsid w:val="00BC594D"/>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4760" w:themeFill="accent2" w:themeFillShade="CC"/>
      </w:tcPr>
    </w:tblStylePr>
    <w:tblStylePr w:type="lastRow">
      <w:rPr>
        <w:b/>
        <w:bCs/>
        <w:color w:val="00476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vetliste-fremhvningsfarve1">
    <w:name w:val="Colorful List Accent 1"/>
    <w:basedOn w:val="Tabel-Normal"/>
    <w:uiPriority w:val="72"/>
    <w:semiHidden/>
    <w:unhideWhenUsed/>
    <w:rsid w:val="00BC594D"/>
    <w:pPr>
      <w:spacing w:line="240" w:lineRule="auto"/>
    </w:pPr>
    <w:rPr>
      <w:color w:val="000000" w:themeColor="text1"/>
    </w:rPr>
    <w:tblPr>
      <w:tblStyleRowBandSize w:val="1"/>
      <w:tblStyleColBandSize w:val="1"/>
    </w:tblPr>
    <w:tcPr>
      <w:shd w:val="clear" w:color="auto" w:fill="F0F3F4" w:themeFill="accent1" w:themeFillTint="19"/>
    </w:tcPr>
    <w:tblStylePr w:type="firstRow">
      <w:rPr>
        <w:b/>
        <w:bCs/>
        <w:color w:val="FFFFFF" w:themeColor="background1"/>
      </w:rPr>
      <w:tblPr/>
      <w:tcPr>
        <w:tcBorders>
          <w:bottom w:val="single" w:sz="12" w:space="0" w:color="FFFFFF" w:themeColor="background1"/>
        </w:tcBorders>
        <w:shd w:val="clear" w:color="auto" w:fill="004760" w:themeFill="accent2" w:themeFillShade="CC"/>
      </w:tcPr>
    </w:tblStylePr>
    <w:tblStylePr w:type="lastRow">
      <w:rPr>
        <w:b/>
        <w:bCs/>
        <w:color w:val="00476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E1E4" w:themeFill="accent1" w:themeFillTint="3F"/>
      </w:tcPr>
    </w:tblStylePr>
    <w:tblStylePr w:type="band1Horz">
      <w:tblPr/>
      <w:tcPr>
        <w:shd w:val="clear" w:color="auto" w:fill="E1E7E9" w:themeFill="accent1" w:themeFillTint="33"/>
      </w:tcPr>
    </w:tblStylePr>
  </w:style>
  <w:style w:type="table" w:styleId="Farvetliste-fremhvningsfarve2">
    <w:name w:val="Colorful List Accent 2"/>
    <w:basedOn w:val="Tabel-Normal"/>
    <w:uiPriority w:val="72"/>
    <w:semiHidden/>
    <w:unhideWhenUsed/>
    <w:rsid w:val="00BC594D"/>
    <w:pPr>
      <w:spacing w:line="240" w:lineRule="auto"/>
    </w:pPr>
    <w:rPr>
      <w:color w:val="000000" w:themeColor="text1"/>
    </w:rPr>
    <w:tblPr>
      <w:tblStyleRowBandSize w:val="1"/>
      <w:tblStyleColBandSize w:val="1"/>
    </w:tblPr>
    <w:tcPr>
      <w:shd w:val="clear" w:color="auto" w:fill="D8F5FF" w:themeFill="accent2" w:themeFillTint="19"/>
    </w:tcPr>
    <w:tblStylePr w:type="firstRow">
      <w:rPr>
        <w:b/>
        <w:bCs/>
        <w:color w:val="FFFFFF" w:themeColor="background1"/>
      </w:rPr>
      <w:tblPr/>
      <w:tcPr>
        <w:tcBorders>
          <w:bottom w:val="single" w:sz="12" w:space="0" w:color="FFFFFF" w:themeColor="background1"/>
        </w:tcBorders>
        <w:shd w:val="clear" w:color="auto" w:fill="004760" w:themeFill="accent2" w:themeFillShade="CC"/>
      </w:tcPr>
    </w:tblStylePr>
    <w:tblStylePr w:type="lastRow">
      <w:rPr>
        <w:b/>
        <w:bCs/>
        <w:color w:val="00476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EE5FF" w:themeFill="accent2" w:themeFillTint="3F"/>
      </w:tcPr>
    </w:tblStylePr>
    <w:tblStylePr w:type="band1Horz">
      <w:tblPr/>
      <w:tcPr>
        <w:shd w:val="clear" w:color="auto" w:fill="B1EAFF" w:themeFill="accent2" w:themeFillTint="33"/>
      </w:tcPr>
    </w:tblStylePr>
  </w:style>
  <w:style w:type="table" w:styleId="Farvetliste-fremhvningsfarve3">
    <w:name w:val="Colorful List Accent 3"/>
    <w:basedOn w:val="Tabel-Normal"/>
    <w:uiPriority w:val="72"/>
    <w:semiHidden/>
    <w:unhideWhenUsed/>
    <w:rsid w:val="00BC594D"/>
    <w:pPr>
      <w:spacing w:line="240" w:lineRule="auto"/>
    </w:pPr>
    <w:rPr>
      <w:color w:val="000000" w:themeColor="text1"/>
    </w:rPr>
    <w:tblPr>
      <w:tblStyleRowBandSize w:val="1"/>
      <w:tblStyleColBandSize w:val="1"/>
    </w:tblPr>
    <w:tcPr>
      <w:shd w:val="clear" w:color="auto" w:fill="F3FAFD" w:themeFill="accent3" w:themeFillTint="19"/>
    </w:tcPr>
    <w:tblStylePr w:type="firstRow">
      <w:rPr>
        <w:b/>
        <w:bCs/>
        <w:color w:val="FFFFFF" w:themeColor="background1"/>
      </w:rPr>
      <w:tblPr/>
      <w:tcPr>
        <w:tcBorders>
          <w:bottom w:val="single" w:sz="12" w:space="0" w:color="FFFFFF" w:themeColor="background1"/>
        </w:tcBorders>
        <w:shd w:val="clear" w:color="auto" w:fill="FF7E1C" w:themeFill="accent4" w:themeFillShade="CC"/>
      </w:tcPr>
    </w:tblStylePr>
    <w:tblStylePr w:type="lastRow">
      <w:rPr>
        <w:b/>
        <w:bCs/>
        <w:color w:val="FF7E1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3FB" w:themeFill="accent3" w:themeFillTint="3F"/>
      </w:tcPr>
    </w:tblStylePr>
    <w:tblStylePr w:type="band1Horz">
      <w:tblPr/>
      <w:tcPr>
        <w:shd w:val="clear" w:color="auto" w:fill="E7F5FC" w:themeFill="accent3" w:themeFillTint="33"/>
      </w:tcPr>
    </w:tblStylePr>
  </w:style>
  <w:style w:type="table" w:styleId="Farvetliste-fremhvningsfarve4">
    <w:name w:val="Colorful List Accent 4"/>
    <w:basedOn w:val="Tabel-Normal"/>
    <w:uiPriority w:val="72"/>
    <w:semiHidden/>
    <w:unhideWhenUsed/>
    <w:rsid w:val="00BC594D"/>
    <w:pPr>
      <w:spacing w:line="240" w:lineRule="auto"/>
    </w:pPr>
    <w:rPr>
      <w:color w:val="000000" w:themeColor="text1"/>
    </w:rPr>
    <w:tblPr>
      <w:tblStyleRowBandSize w:val="1"/>
      <w:tblStyleColBandSize w:val="1"/>
    </w:tblPr>
    <w:tcPr>
      <w:shd w:val="clear" w:color="auto" w:fill="FFF6EF" w:themeFill="accent4" w:themeFillTint="19"/>
    </w:tcPr>
    <w:tblStylePr w:type="firstRow">
      <w:rPr>
        <w:b/>
        <w:bCs/>
        <w:color w:val="FFFFFF" w:themeColor="background1"/>
      </w:rPr>
      <w:tblPr/>
      <w:tcPr>
        <w:tcBorders>
          <w:bottom w:val="single" w:sz="12" w:space="0" w:color="FFFFFF" w:themeColor="background1"/>
        </w:tcBorders>
        <w:shd w:val="clear" w:color="auto" w:fill="46B7E8" w:themeFill="accent3" w:themeFillShade="CC"/>
      </w:tcPr>
    </w:tblStylePr>
    <w:tblStylePr w:type="lastRow">
      <w:rPr>
        <w:b/>
        <w:bCs/>
        <w:color w:val="46B7E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9D8" w:themeFill="accent4" w:themeFillTint="3F"/>
      </w:tcPr>
    </w:tblStylePr>
    <w:tblStylePr w:type="band1Horz">
      <w:tblPr/>
      <w:tcPr>
        <w:shd w:val="clear" w:color="auto" w:fill="FFEDDF" w:themeFill="accent4" w:themeFillTint="33"/>
      </w:tcPr>
    </w:tblStylePr>
  </w:style>
  <w:style w:type="table" w:styleId="Farvetliste-fremhvningsfarve5">
    <w:name w:val="Colorful List Accent 5"/>
    <w:basedOn w:val="Tabel-Normal"/>
    <w:uiPriority w:val="72"/>
    <w:semiHidden/>
    <w:unhideWhenUsed/>
    <w:rsid w:val="00BC594D"/>
    <w:pPr>
      <w:spacing w:line="240" w:lineRule="auto"/>
    </w:pPr>
    <w:rPr>
      <w:color w:val="000000" w:themeColor="text1"/>
    </w:rPr>
    <w:tblPr>
      <w:tblStyleRowBandSize w:val="1"/>
      <w:tblStyleColBandSize w:val="1"/>
    </w:tblPr>
    <w:tcPr>
      <w:shd w:val="clear" w:color="auto" w:fill="EDFBF4" w:themeFill="accent5" w:themeFillTint="19"/>
    </w:tcPr>
    <w:tblStylePr w:type="firstRow">
      <w:rPr>
        <w:b/>
        <w:bCs/>
        <w:color w:val="FFFFFF" w:themeColor="background1"/>
      </w:rPr>
      <w:tblPr/>
      <w:tcPr>
        <w:tcBorders>
          <w:bottom w:val="single" w:sz="12" w:space="0" w:color="FFFFFF" w:themeColor="background1"/>
        </w:tcBorders>
        <w:shd w:val="clear" w:color="auto" w:fill="BFA400" w:themeFill="accent6" w:themeFillShade="CC"/>
      </w:tcPr>
    </w:tblStylePr>
    <w:tblStylePr w:type="lastRow">
      <w:rPr>
        <w:b/>
        <w:bCs/>
        <w:color w:val="BFA40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4E3" w:themeFill="accent5" w:themeFillTint="3F"/>
      </w:tcPr>
    </w:tblStylePr>
    <w:tblStylePr w:type="band1Horz">
      <w:tblPr/>
      <w:tcPr>
        <w:shd w:val="clear" w:color="auto" w:fill="DBF6E8" w:themeFill="accent5" w:themeFillTint="33"/>
      </w:tcPr>
    </w:tblStylePr>
  </w:style>
  <w:style w:type="table" w:styleId="Farvetliste-fremhvningsfarve6">
    <w:name w:val="Colorful List Accent 6"/>
    <w:basedOn w:val="Tabel-Normal"/>
    <w:uiPriority w:val="72"/>
    <w:semiHidden/>
    <w:unhideWhenUsed/>
    <w:rsid w:val="00BC594D"/>
    <w:pPr>
      <w:spacing w:line="240" w:lineRule="auto"/>
    </w:pPr>
    <w:rPr>
      <w:color w:val="000000" w:themeColor="text1"/>
    </w:rPr>
    <w:tblPr>
      <w:tblStyleRowBandSize w:val="1"/>
      <w:tblStyleColBandSize w:val="1"/>
    </w:tblPr>
    <w:tcPr>
      <w:shd w:val="clear" w:color="auto" w:fill="FFFBE4" w:themeFill="accent6" w:themeFillTint="19"/>
    </w:tcPr>
    <w:tblStylePr w:type="firstRow">
      <w:rPr>
        <w:b/>
        <w:bCs/>
        <w:color w:val="FFFFFF" w:themeColor="background1"/>
      </w:rPr>
      <w:tblPr/>
      <w:tcPr>
        <w:tcBorders>
          <w:bottom w:val="single" w:sz="12" w:space="0" w:color="FFFFFF" w:themeColor="background1"/>
        </w:tcBorders>
        <w:shd w:val="clear" w:color="auto" w:fill="2CBE72" w:themeFill="accent5" w:themeFillShade="CC"/>
      </w:tcPr>
    </w:tblStylePr>
    <w:tblStylePr w:type="lastRow">
      <w:rPr>
        <w:b/>
        <w:bCs/>
        <w:color w:val="2CBE7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BC" w:themeFill="accent6" w:themeFillTint="3F"/>
      </w:tcPr>
    </w:tblStylePr>
    <w:tblStylePr w:type="band1Horz">
      <w:tblPr/>
      <w:tcPr>
        <w:shd w:val="clear" w:color="auto" w:fill="FFF7C8" w:themeFill="accent6" w:themeFillTint="33"/>
      </w:tcPr>
    </w:tblStylePr>
  </w:style>
  <w:style w:type="table" w:styleId="Farvetskygge">
    <w:name w:val="Colorful Shading"/>
    <w:basedOn w:val="Tabel-Normal"/>
    <w:uiPriority w:val="71"/>
    <w:semiHidden/>
    <w:unhideWhenUsed/>
    <w:rsid w:val="00BC594D"/>
    <w:pPr>
      <w:spacing w:line="240" w:lineRule="auto"/>
    </w:pPr>
    <w:rPr>
      <w:color w:val="000000" w:themeColor="text1"/>
    </w:rPr>
    <w:tblPr>
      <w:tblStyleRowBandSize w:val="1"/>
      <w:tblStyleColBandSize w:val="1"/>
      <w:tblBorders>
        <w:top w:val="single" w:sz="24" w:space="0" w:color="005978"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597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vetskygge-fremhvningsfarve1">
    <w:name w:val="Colorful Shading Accent 1"/>
    <w:basedOn w:val="Tabel-Normal"/>
    <w:uiPriority w:val="71"/>
    <w:semiHidden/>
    <w:unhideWhenUsed/>
    <w:rsid w:val="00BC594D"/>
    <w:pPr>
      <w:spacing w:line="240" w:lineRule="auto"/>
    </w:pPr>
    <w:rPr>
      <w:color w:val="000000" w:themeColor="text1"/>
    </w:rPr>
    <w:tblPr>
      <w:tblStyleRowBandSize w:val="1"/>
      <w:tblStyleColBandSize w:val="1"/>
      <w:tblBorders>
        <w:top w:val="single" w:sz="24" w:space="0" w:color="005978" w:themeColor="accent2"/>
        <w:left w:val="single" w:sz="4" w:space="0" w:color="6B8994" w:themeColor="accent1"/>
        <w:bottom w:val="single" w:sz="4" w:space="0" w:color="6B8994" w:themeColor="accent1"/>
        <w:right w:val="single" w:sz="4" w:space="0" w:color="6B8994" w:themeColor="accent1"/>
        <w:insideH w:val="single" w:sz="4" w:space="0" w:color="FFFFFF" w:themeColor="background1"/>
        <w:insideV w:val="single" w:sz="4" w:space="0" w:color="FFFFFF" w:themeColor="background1"/>
      </w:tblBorders>
    </w:tblPr>
    <w:tcPr>
      <w:shd w:val="clear" w:color="auto" w:fill="F0F3F4" w:themeFill="accent1" w:themeFillTint="19"/>
    </w:tcPr>
    <w:tblStylePr w:type="firstRow">
      <w:rPr>
        <w:b/>
        <w:bCs/>
      </w:rPr>
      <w:tblPr/>
      <w:tcPr>
        <w:tcBorders>
          <w:top w:val="nil"/>
          <w:left w:val="nil"/>
          <w:bottom w:val="single" w:sz="24" w:space="0" w:color="00597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5258" w:themeFill="accent1" w:themeFillShade="99"/>
      </w:tcPr>
    </w:tblStylePr>
    <w:tblStylePr w:type="firstCol">
      <w:rPr>
        <w:color w:val="FFFFFF" w:themeColor="background1"/>
      </w:rPr>
      <w:tblPr/>
      <w:tcPr>
        <w:tcBorders>
          <w:top w:val="nil"/>
          <w:left w:val="nil"/>
          <w:bottom w:val="nil"/>
          <w:right w:val="nil"/>
          <w:insideH w:val="single" w:sz="4" w:space="0" w:color="405258" w:themeColor="accent1" w:themeShade="99"/>
          <w:insideV w:val="nil"/>
        </w:tcBorders>
        <w:shd w:val="clear" w:color="auto" w:fill="40525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05258" w:themeFill="accent1" w:themeFillShade="99"/>
      </w:tcPr>
    </w:tblStylePr>
    <w:tblStylePr w:type="band1Vert">
      <w:tblPr/>
      <w:tcPr>
        <w:shd w:val="clear" w:color="auto" w:fill="C3CFD4" w:themeFill="accent1" w:themeFillTint="66"/>
      </w:tcPr>
    </w:tblStylePr>
    <w:tblStylePr w:type="band1Horz">
      <w:tblPr/>
      <w:tcPr>
        <w:shd w:val="clear" w:color="auto" w:fill="B5C4C9" w:themeFill="accent1" w:themeFillTint="7F"/>
      </w:tcPr>
    </w:tblStylePr>
    <w:tblStylePr w:type="neCell">
      <w:rPr>
        <w:color w:val="000000" w:themeColor="text1"/>
      </w:rPr>
    </w:tblStylePr>
    <w:tblStylePr w:type="nwCell">
      <w:rPr>
        <w:color w:val="000000" w:themeColor="text1"/>
      </w:rPr>
    </w:tblStylePr>
  </w:style>
  <w:style w:type="table" w:styleId="Farvetskygge-fremhvningsfarve2">
    <w:name w:val="Colorful Shading Accent 2"/>
    <w:basedOn w:val="Tabel-Normal"/>
    <w:uiPriority w:val="71"/>
    <w:semiHidden/>
    <w:unhideWhenUsed/>
    <w:rsid w:val="00BC594D"/>
    <w:pPr>
      <w:spacing w:line="240" w:lineRule="auto"/>
    </w:pPr>
    <w:rPr>
      <w:color w:val="000000" w:themeColor="text1"/>
    </w:rPr>
    <w:tblPr>
      <w:tblStyleRowBandSize w:val="1"/>
      <w:tblStyleColBandSize w:val="1"/>
      <w:tblBorders>
        <w:top w:val="single" w:sz="24" w:space="0" w:color="005978" w:themeColor="accent2"/>
        <w:left w:val="single" w:sz="4" w:space="0" w:color="005978" w:themeColor="accent2"/>
        <w:bottom w:val="single" w:sz="4" w:space="0" w:color="005978" w:themeColor="accent2"/>
        <w:right w:val="single" w:sz="4" w:space="0" w:color="005978" w:themeColor="accent2"/>
        <w:insideH w:val="single" w:sz="4" w:space="0" w:color="FFFFFF" w:themeColor="background1"/>
        <w:insideV w:val="single" w:sz="4" w:space="0" w:color="FFFFFF" w:themeColor="background1"/>
      </w:tblBorders>
    </w:tblPr>
    <w:tcPr>
      <w:shd w:val="clear" w:color="auto" w:fill="D8F5FF" w:themeFill="accent2" w:themeFillTint="19"/>
    </w:tcPr>
    <w:tblStylePr w:type="firstRow">
      <w:rPr>
        <w:b/>
        <w:bCs/>
      </w:rPr>
      <w:tblPr/>
      <w:tcPr>
        <w:tcBorders>
          <w:top w:val="nil"/>
          <w:left w:val="nil"/>
          <w:bottom w:val="single" w:sz="24" w:space="0" w:color="00597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548" w:themeFill="accent2" w:themeFillShade="99"/>
      </w:tcPr>
    </w:tblStylePr>
    <w:tblStylePr w:type="firstCol">
      <w:rPr>
        <w:color w:val="FFFFFF" w:themeColor="background1"/>
      </w:rPr>
      <w:tblPr/>
      <w:tcPr>
        <w:tcBorders>
          <w:top w:val="nil"/>
          <w:left w:val="nil"/>
          <w:bottom w:val="nil"/>
          <w:right w:val="nil"/>
          <w:insideH w:val="single" w:sz="4" w:space="0" w:color="003548" w:themeColor="accent2" w:themeShade="99"/>
          <w:insideV w:val="nil"/>
        </w:tcBorders>
        <w:shd w:val="clear" w:color="auto" w:fill="00354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3548" w:themeFill="accent2" w:themeFillShade="99"/>
      </w:tcPr>
    </w:tblStylePr>
    <w:tblStylePr w:type="band1Vert">
      <w:tblPr/>
      <w:tcPr>
        <w:shd w:val="clear" w:color="auto" w:fill="63D6FF" w:themeFill="accent2" w:themeFillTint="66"/>
      </w:tcPr>
    </w:tblStylePr>
    <w:tblStylePr w:type="band1Horz">
      <w:tblPr/>
      <w:tcPr>
        <w:shd w:val="clear" w:color="auto" w:fill="3CCCFF" w:themeFill="accent2" w:themeFillTint="7F"/>
      </w:tcPr>
    </w:tblStylePr>
    <w:tblStylePr w:type="neCell">
      <w:rPr>
        <w:color w:val="000000" w:themeColor="text1"/>
      </w:rPr>
    </w:tblStylePr>
    <w:tblStylePr w:type="nwCell">
      <w:rPr>
        <w:color w:val="000000" w:themeColor="text1"/>
      </w:rPr>
    </w:tblStylePr>
  </w:style>
  <w:style w:type="table" w:styleId="Farvetskygge-fremhvningsfarve3">
    <w:name w:val="Colorful Shading Accent 3"/>
    <w:basedOn w:val="Tabel-Normal"/>
    <w:uiPriority w:val="71"/>
    <w:semiHidden/>
    <w:unhideWhenUsed/>
    <w:rsid w:val="00BC594D"/>
    <w:pPr>
      <w:spacing w:line="240" w:lineRule="auto"/>
    </w:pPr>
    <w:rPr>
      <w:color w:val="000000" w:themeColor="text1"/>
    </w:rPr>
    <w:tblPr>
      <w:tblStyleRowBandSize w:val="1"/>
      <w:tblStyleColBandSize w:val="1"/>
      <w:tblBorders>
        <w:top w:val="single" w:sz="24" w:space="0" w:color="FFA763" w:themeColor="accent4"/>
        <w:left w:val="single" w:sz="4" w:space="0" w:color="8AD2F1" w:themeColor="accent3"/>
        <w:bottom w:val="single" w:sz="4" w:space="0" w:color="8AD2F1" w:themeColor="accent3"/>
        <w:right w:val="single" w:sz="4" w:space="0" w:color="8AD2F1" w:themeColor="accent3"/>
        <w:insideH w:val="single" w:sz="4" w:space="0" w:color="FFFFFF" w:themeColor="background1"/>
        <w:insideV w:val="single" w:sz="4" w:space="0" w:color="FFFFFF" w:themeColor="background1"/>
      </w:tblBorders>
    </w:tblPr>
    <w:tcPr>
      <w:shd w:val="clear" w:color="auto" w:fill="F3FAFD" w:themeFill="accent3" w:themeFillTint="19"/>
    </w:tcPr>
    <w:tblStylePr w:type="firstRow">
      <w:rPr>
        <w:b/>
        <w:bCs/>
      </w:rPr>
      <w:tblPr/>
      <w:tcPr>
        <w:tcBorders>
          <w:top w:val="nil"/>
          <w:left w:val="nil"/>
          <w:bottom w:val="single" w:sz="24" w:space="0" w:color="FFA763"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894CA" w:themeFill="accent3" w:themeFillShade="99"/>
      </w:tcPr>
    </w:tblStylePr>
    <w:tblStylePr w:type="firstCol">
      <w:rPr>
        <w:color w:val="FFFFFF" w:themeColor="background1"/>
      </w:rPr>
      <w:tblPr/>
      <w:tcPr>
        <w:tcBorders>
          <w:top w:val="nil"/>
          <w:left w:val="nil"/>
          <w:bottom w:val="nil"/>
          <w:right w:val="nil"/>
          <w:insideH w:val="single" w:sz="4" w:space="0" w:color="1894CA" w:themeColor="accent3" w:themeShade="99"/>
          <w:insideV w:val="nil"/>
        </w:tcBorders>
        <w:shd w:val="clear" w:color="auto" w:fill="1894C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894CA" w:themeFill="accent3" w:themeFillShade="99"/>
      </w:tcPr>
    </w:tblStylePr>
    <w:tblStylePr w:type="band1Vert">
      <w:tblPr/>
      <w:tcPr>
        <w:shd w:val="clear" w:color="auto" w:fill="CFECF9" w:themeFill="accent3" w:themeFillTint="66"/>
      </w:tcPr>
    </w:tblStylePr>
    <w:tblStylePr w:type="band1Horz">
      <w:tblPr/>
      <w:tcPr>
        <w:shd w:val="clear" w:color="auto" w:fill="C4E8F8" w:themeFill="accent3" w:themeFillTint="7F"/>
      </w:tcPr>
    </w:tblStylePr>
  </w:style>
  <w:style w:type="table" w:styleId="Farvetskygge-fremhvningsfarve4">
    <w:name w:val="Colorful Shading Accent 4"/>
    <w:basedOn w:val="Tabel-Normal"/>
    <w:uiPriority w:val="71"/>
    <w:semiHidden/>
    <w:unhideWhenUsed/>
    <w:rsid w:val="00BC594D"/>
    <w:pPr>
      <w:spacing w:line="240" w:lineRule="auto"/>
    </w:pPr>
    <w:rPr>
      <w:color w:val="000000" w:themeColor="text1"/>
    </w:rPr>
    <w:tblPr>
      <w:tblStyleRowBandSize w:val="1"/>
      <w:tblStyleColBandSize w:val="1"/>
      <w:tblBorders>
        <w:top w:val="single" w:sz="24" w:space="0" w:color="8AD2F1" w:themeColor="accent3"/>
        <w:left w:val="single" w:sz="4" w:space="0" w:color="FFA763" w:themeColor="accent4"/>
        <w:bottom w:val="single" w:sz="4" w:space="0" w:color="FFA763" w:themeColor="accent4"/>
        <w:right w:val="single" w:sz="4" w:space="0" w:color="FFA763" w:themeColor="accent4"/>
        <w:insideH w:val="single" w:sz="4" w:space="0" w:color="FFFFFF" w:themeColor="background1"/>
        <w:insideV w:val="single" w:sz="4" w:space="0" w:color="FFFFFF" w:themeColor="background1"/>
      </w:tblBorders>
    </w:tblPr>
    <w:tcPr>
      <w:shd w:val="clear" w:color="auto" w:fill="FFF6EF" w:themeFill="accent4" w:themeFillTint="19"/>
    </w:tcPr>
    <w:tblStylePr w:type="firstRow">
      <w:rPr>
        <w:b/>
        <w:bCs/>
      </w:rPr>
      <w:tblPr/>
      <w:tcPr>
        <w:tcBorders>
          <w:top w:val="nil"/>
          <w:left w:val="nil"/>
          <w:bottom w:val="single" w:sz="24" w:space="0" w:color="8AD2F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45C00" w:themeFill="accent4" w:themeFillShade="99"/>
      </w:tcPr>
    </w:tblStylePr>
    <w:tblStylePr w:type="firstCol">
      <w:rPr>
        <w:color w:val="FFFFFF" w:themeColor="background1"/>
      </w:rPr>
      <w:tblPr/>
      <w:tcPr>
        <w:tcBorders>
          <w:top w:val="nil"/>
          <w:left w:val="nil"/>
          <w:bottom w:val="nil"/>
          <w:right w:val="nil"/>
          <w:insideH w:val="single" w:sz="4" w:space="0" w:color="D45C00" w:themeColor="accent4" w:themeShade="99"/>
          <w:insideV w:val="nil"/>
        </w:tcBorders>
        <w:shd w:val="clear" w:color="auto" w:fill="D45C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D45C00" w:themeFill="accent4" w:themeFillShade="99"/>
      </w:tcPr>
    </w:tblStylePr>
    <w:tblStylePr w:type="band1Vert">
      <w:tblPr/>
      <w:tcPr>
        <w:shd w:val="clear" w:color="auto" w:fill="FFDBC0" w:themeFill="accent4" w:themeFillTint="66"/>
      </w:tcPr>
    </w:tblStylePr>
    <w:tblStylePr w:type="band1Horz">
      <w:tblPr/>
      <w:tcPr>
        <w:shd w:val="clear" w:color="auto" w:fill="FFD2B1" w:themeFill="accent4" w:themeFillTint="7F"/>
      </w:tcPr>
    </w:tblStylePr>
    <w:tblStylePr w:type="neCell">
      <w:rPr>
        <w:color w:val="000000" w:themeColor="text1"/>
      </w:rPr>
    </w:tblStylePr>
    <w:tblStylePr w:type="nwCell">
      <w:rPr>
        <w:color w:val="000000" w:themeColor="text1"/>
      </w:rPr>
    </w:tblStylePr>
  </w:style>
  <w:style w:type="table" w:styleId="Farvetskygge-fremhvningsfarve5">
    <w:name w:val="Colorful Shading Accent 5"/>
    <w:basedOn w:val="Tabel-Normal"/>
    <w:uiPriority w:val="71"/>
    <w:semiHidden/>
    <w:unhideWhenUsed/>
    <w:rsid w:val="00BC594D"/>
    <w:pPr>
      <w:spacing w:line="240" w:lineRule="auto"/>
    </w:pPr>
    <w:rPr>
      <w:color w:val="000000" w:themeColor="text1"/>
    </w:rPr>
    <w:tblPr>
      <w:tblStyleRowBandSize w:val="1"/>
      <w:tblStyleColBandSize w:val="1"/>
      <w:tblBorders>
        <w:top w:val="single" w:sz="24" w:space="0" w:color="EFCF00" w:themeColor="accent6"/>
        <w:left w:val="single" w:sz="4" w:space="0" w:color="50D691" w:themeColor="accent5"/>
        <w:bottom w:val="single" w:sz="4" w:space="0" w:color="50D691" w:themeColor="accent5"/>
        <w:right w:val="single" w:sz="4" w:space="0" w:color="50D691" w:themeColor="accent5"/>
        <w:insideH w:val="single" w:sz="4" w:space="0" w:color="FFFFFF" w:themeColor="background1"/>
        <w:insideV w:val="single" w:sz="4" w:space="0" w:color="FFFFFF" w:themeColor="background1"/>
      </w:tblBorders>
    </w:tblPr>
    <w:tcPr>
      <w:shd w:val="clear" w:color="auto" w:fill="EDFBF4" w:themeFill="accent5" w:themeFillTint="19"/>
    </w:tcPr>
    <w:tblStylePr w:type="firstRow">
      <w:rPr>
        <w:b/>
        <w:bCs/>
      </w:rPr>
      <w:tblPr/>
      <w:tcPr>
        <w:tcBorders>
          <w:top w:val="nil"/>
          <w:left w:val="nil"/>
          <w:bottom w:val="single" w:sz="24" w:space="0" w:color="EFCF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18E56" w:themeFill="accent5" w:themeFillShade="99"/>
      </w:tcPr>
    </w:tblStylePr>
    <w:tblStylePr w:type="firstCol">
      <w:rPr>
        <w:color w:val="FFFFFF" w:themeColor="background1"/>
      </w:rPr>
      <w:tblPr/>
      <w:tcPr>
        <w:tcBorders>
          <w:top w:val="nil"/>
          <w:left w:val="nil"/>
          <w:bottom w:val="nil"/>
          <w:right w:val="nil"/>
          <w:insideH w:val="single" w:sz="4" w:space="0" w:color="218E56" w:themeColor="accent5" w:themeShade="99"/>
          <w:insideV w:val="nil"/>
        </w:tcBorders>
        <w:shd w:val="clear" w:color="auto" w:fill="218E56"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18E56" w:themeFill="accent5" w:themeFillShade="99"/>
      </w:tcPr>
    </w:tblStylePr>
    <w:tblStylePr w:type="band1Vert">
      <w:tblPr/>
      <w:tcPr>
        <w:shd w:val="clear" w:color="auto" w:fill="B8EED2" w:themeFill="accent5" w:themeFillTint="66"/>
      </w:tcPr>
    </w:tblStylePr>
    <w:tblStylePr w:type="band1Horz">
      <w:tblPr/>
      <w:tcPr>
        <w:shd w:val="clear" w:color="auto" w:fill="A7EAC7" w:themeFill="accent5" w:themeFillTint="7F"/>
      </w:tcPr>
    </w:tblStylePr>
    <w:tblStylePr w:type="neCell">
      <w:rPr>
        <w:color w:val="000000" w:themeColor="text1"/>
      </w:rPr>
    </w:tblStylePr>
    <w:tblStylePr w:type="nwCell">
      <w:rPr>
        <w:color w:val="000000" w:themeColor="text1"/>
      </w:rPr>
    </w:tblStylePr>
  </w:style>
  <w:style w:type="table" w:styleId="Farvetskygge-fremhvningsfarve6">
    <w:name w:val="Colorful Shading Accent 6"/>
    <w:basedOn w:val="Tabel-Normal"/>
    <w:uiPriority w:val="71"/>
    <w:semiHidden/>
    <w:unhideWhenUsed/>
    <w:rsid w:val="00BC594D"/>
    <w:pPr>
      <w:spacing w:line="240" w:lineRule="auto"/>
    </w:pPr>
    <w:rPr>
      <w:color w:val="000000" w:themeColor="text1"/>
    </w:rPr>
    <w:tblPr>
      <w:tblStyleRowBandSize w:val="1"/>
      <w:tblStyleColBandSize w:val="1"/>
      <w:tblBorders>
        <w:top w:val="single" w:sz="24" w:space="0" w:color="50D691" w:themeColor="accent5"/>
        <w:left w:val="single" w:sz="4" w:space="0" w:color="EFCF00" w:themeColor="accent6"/>
        <w:bottom w:val="single" w:sz="4" w:space="0" w:color="EFCF00" w:themeColor="accent6"/>
        <w:right w:val="single" w:sz="4" w:space="0" w:color="EFCF00" w:themeColor="accent6"/>
        <w:insideH w:val="single" w:sz="4" w:space="0" w:color="FFFFFF" w:themeColor="background1"/>
        <w:insideV w:val="single" w:sz="4" w:space="0" w:color="FFFFFF" w:themeColor="background1"/>
      </w:tblBorders>
    </w:tblPr>
    <w:tcPr>
      <w:shd w:val="clear" w:color="auto" w:fill="FFFBE4" w:themeFill="accent6" w:themeFillTint="19"/>
    </w:tcPr>
    <w:tblStylePr w:type="firstRow">
      <w:rPr>
        <w:b/>
        <w:bCs/>
      </w:rPr>
      <w:tblPr/>
      <w:tcPr>
        <w:tcBorders>
          <w:top w:val="nil"/>
          <w:left w:val="nil"/>
          <w:bottom w:val="single" w:sz="24" w:space="0" w:color="50D691"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F7B00" w:themeFill="accent6" w:themeFillShade="99"/>
      </w:tcPr>
    </w:tblStylePr>
    <w:tblStylePr w:type="firstCol">
      <w:rPr>
        <w:color w:val="FFFFFF" w:themeColor="background1"/>
      </w:rPr>
      <w:tblPr/>
      <w:tcPr>
        <w:tcBorders>
          <w:top w:val="nil"/>
          <w:left w:val="nil"/>
          <w:bottom w:val="nil"/>
          <w:right w:val="nil"/>
          <w:insideH w:val="single" w:sz="4" w:space="0" w:color="8F7B00" w:themeColor="accent6" w:themeShade="99"/>
          <w:insideV w:val="nil"/>
        </w:tcBorders>
        <w:shd w:val="clear" w:color="auto" w:fill="8F7B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8F7B00" w:themeFill="accent6" w:themeFillShade="99"/>
      </w:tcPr>
    </w:tblStylePr>
    <w:tblStylePr w:type="band1Vert">
      <w:tblPr/>
      <w:tcPr>
        <w:shd w:val="clear" w:color="auto" w:fill="FFF092" w:themeFill="accent6" w:themeFillTint="66"/>
      </w:tcPr>
    </w:tblStylePr>
    <w:tblStylePr w:type="band1Horz">
      <w:tblPr/>
      <w:tcPr>
        <w:shd w:val="clear" w:color="auto" w:fill="FFEC78" w:themeFill="accent6" w:themeFillTint="7F"/>
      </w:tcPr>
    </w:tblStylePr>
    <w:tblStylePr w:type="neCell">
      <w:rPr>
        <w:color w:val="000000" w:themeColor="text1"/>
      </w:rPr>
    </w:tblStylePr>
    <w:tblStylePr w:type="nwCell">
      <w:rPr>
        <w:color w:val="000000" w:themeColor="text1"/>
      </w:rPr>
    </w:tblStylePr>
  </w:style>
  <w:style w:type="character" w:styleId="Kommentarhenvisning">
    <w:name w:val="annotation reference"/>
    <w:basedOn w:val="Standardskrifttypeiafsnit"/>
    <w:uiPriority w:val="99"/>
    <w:rsid w:val="00BC594D"/>
    <w:rPr>
      <w:sz w:val="16"/>
      <w:szCs w:val="16"/>
      <w:lang w:val="da-DK"/>
    </w:rPr>
  </w:style>
  <w:style w:type="paragraph" w:styleId="Kommentartekst">
    <w:name w:val="annotation text"/>
    <w:basedOn w:val="Normal"/>
    <w:link w:val="KommentartekstTegn"/>
    <w:uiPriority w:val="99"/>
    <w:rsid w:val="00BC594D"/>
    <w:pPr>
      <w:spacing w:line="240" w:lineRule="auto"/>
    </w:pPr>
  </w:style>
  <w:style w:type="character" w:customStyle="1" w:styleId="KommentartekstTegn">
    <w:name w:val="Kommentartekst Tegn"/>
    <w:basedOn w:val="Standardskrifttypeiafsnit"/>
    <w:link w:val="Kommentartekst"/>
    <w:uiPriority w:val="99"/>
    <w:rsid w:val="00BC594D"/>
    <w:rPr>
      <w:lang w:val="da-DK"/>
    </w:rPr>
  </w:style>
  <w:style w:type="paragraph" w:styleId="Kommentaremne">
    <w:name w:val="annotation subject"/>
    <w:basedOn w:val="Kommentartekst"/>
    <w:next w:val="Kommentartekst"/>
    <w:link w:val="KommentaremneTegn"/>
    <w:uiPriority w:val="99"/>
    <w:semiHidden/>
    <w:rsid w:val="00BC594D"/>
    <w:rPr>
      <w:b/>
      <w:bCs/>
    </w:rPr>
  </w:style>
  <w:style w:type="character" w:customStyle="1" w:styleId="KommentaremneTegn">
    <w:name w:val="Kommentaremne Tegn"/>
    <w:basedOn w:val="KommentartekstTegn"/>
    <w:link w:val="Kommentaremne"/>
    <w:uiPriority w:val="99"/>
    <w:semiHidden/>
    <w:rsid w:val="00BC594D"/>
    <w:rPr>
      <w:b/>
      <w:bCs/>
      <w:lang w:val="da-DK"/>
    </w:rPr>
  </w:style>
  <w:style w:type="table" w:styleId="Mrkliste">
    <w:name w:val="Dark List"/>
    <w:basedOn w:val="Tabel-Normal"/>
    <w:uiPriority w:val="70"/>
    <w:semiHidden/>
    <w:unhideWhenUsed/>
    <w:rsid w:val="00BC594D"/>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fremhvningsfarve1">
    <w:name w:val="Dark List Accent 1"/>
    <w:basedOn w:val="Tabel-Normal"/>
    <w:uiPriority w:val="70"/>
    <w:semiHidden/>
    <w:unhideWhenUsed/>
    <w:rsid w:val="00BC594D"/>
    <w:pPr>
      <w:spacing w:line="240" w:lineRule="auto"/>
    </w:pPr>
    <w:rPr>
      <w:color w:val="FFFFFF" w:themeColor="background1"/>
    </w:rPr>
    <w:tblPr>
      <w:tblStyleRowBandSize w:val="1"/>
      <w:tblStyleColBandSize w:val="1"/>
    </w:tblPr>
    <w:tcPr>
      <w:shd w:val="clear" w:color="auto" w:fill="6B899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444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0666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0666E" w:themeFill="accent1" w:themeFillShade="BF"/>
      </w:tcPr>
    </w:tblStylePr>
    <w:tblStylePr w:type="band1Vert">
      <w:tblPr/>
      <w:tcPr>
        <w:tcBorders>
          <w:top w:val="nil"/>
          <w:left w:val="nil"/>
          <w:bottom w:val="nil"/>
          <w:right w:val="nil"/>
          <w:insideH w:val="nil"/>
          <w:insideV w:val="nil"/>
        </w:tcBorders>
        <w:shd w:val="clear" w:color="auto" w:fill="50666E" w:themeFill="accent1" w:themeFillShade="BF"/>
      </w:tcPr>
    </w:tblStylePr>
    <w:tblStylePr w:type="band1Horz">
      <w:tblPr/>
      <w:tcPr>
        <w:tcBorders>
          <w:top w:val="nil"/>
          <w:left w:val="nil"/>
          <w:bottom w:val="nil"/>
          <w:right w:val="nil"/>
          <w:insideH w:val="nil"/>
          <w:insideV w:val="nil"/>
        </w:tcBorders>
        <w:shd w:val="clear" w:color="auto" w:fill="50666E" w:themeFill="accent1" w:themeFillShade="BF"/>
      </w:tcPr>
    </w:tblStylePr>
  </w:style>
  <w:style w:type="table" w:styleId="Mrkliste-fremhvningsfarve2">
    <w:name w:val="Dark List Accent 2"/>
    <w:basedOn w:val="Tabel-Normal"/>
    <w:uiPriority w:val="70"/>
    <w:semiHidden/>
    <w:unhideWhenUsed/>
    <w:rsid w:val="00BC594D"/>
    <w:pPr>
      <w:spacing w:line="240" w:lineRule="auto"/>
    </w:pPr>
    <w:rPr>
      <w:color w:val="FFFFFF" w:themeColor="background1"/>
    </w:rPr>
    <w:tblPr>
      <w:tblStyleRowBandSize w:val="1"/>
      <w:tblStyleColBandSize w:val="1"/>
    </w:tblPr>
    <w:tcPr>
      <w:shd w:val="clear" w:color="auto" w:fill="00597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C3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425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4259" w:themeFill="accent2" w:themeFillShade="BF"/>
      </w:tcPr>
    </w:tblStylePr>
    <w:tblStylePr w:type="band1Vert">
      <w:tblPr/>
      <w:tcPr>
        <w:tcBorders>
          <w:top w:val="nil"/>
          <w:left w:val="nil"/>
          <w:bottom w:val="nil"/>
          <w:right w:val="nil"/>
          <w:insideH w:val="nil"/>
          <w:insideV w:val="nil"/>
        </w:tcBorders>
        <w:shd w:val="clear" w:color="auto" w:fill="004259" w:themeFill="accent2" w:themeFillShade="BF"/>
      </w:tcPr>
    </w:tblStylePr>
    <w:tblStylePr w:type="band1Horz">
      <w:tblPr/>
      <w:tcPr>
        <w:tcBorders>
          <w:top w:val="nil"/>
          <w:left w:val="nil"/>
          <w:bottom w:val="nil"/>
          <w:right w:val="nil"/>
          <w:insideH w:val="nil"/>
          <w:insideV w:val="nil"/>
        </w:tcBorders>
        <w:shd w:val="clear" w:color="auto" w:fill="004259" w:themeFill="accent2" w:themeFillShade="BF"/>
      </w:tcPr>
    </w:tblStylePr>
  </w:style>
  <w:style w:type="table" w:styleId="Mrkliste-fremhvningsfarve3">
    <w:name w:val="Dark List Accent 3"/>
    <w:basedOn w:val="Tabel-Normal"/>
    <w:uiPriority w:val="70"/>
    <w:semiHidden/>
    <w:unhideWhenUsed/>
    <w:rsid w:val="00BC594D"/>
    <w:pPr>
      <w:spacing w:line="240" w:lineRule="auto"/>
    </w:pPr>
    <w:rPr>
      <w:color w:val="FFFFFF" w:themeColor="background1"/>
    </w:rPr>
    <w:tblPr>
      <w:tblStyleRowBandSize w:val="1"/>
      <w:tblStyleColBandSize w:val="1"/>
    </w:tblPr>
    <w:tcPr>
      <w:shd w:val="clear" w:color="auto" w:fill="8AD2F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47BA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4B1E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4B1E6" w:themeFill="accent3" w:themeFillShade="BF"/>
      </w:tcPr>
    </w:tblStylePr>
    <w:tblStylePr w:type="band1Vert">
      <w:tblPr/>
      <w:tcPr>
        <w:tcBorders>
          <w:top w:val="nil"/>
          <w:left w:val="nil"/>
          <w:bottom w:val="nil"/>
          <w:right w:val="nil"/>
          <w:insideH w:val="nil"/>
          <w:insideV w:val="nil"/>
        </w:tcBorders>
        <w:shd w:val="clear" w:color="auto" w:fill="34B1E6" w:themeFill="accent3" w:themeFillShade="BF"/>
      </w:tcPr>
    </w:tblStylePr>
    <w:tblStylePr w:type="band1Horz">
      <w:tblPr/>
      <w:tcPr>
        <w:tcBorders>
          <w:top w:val="nil"/>
          <w:left w:val="nil"/>
          <w:bottom w:val="nil"/>
          <w:right w:val="nil"/>
          <w:insideH w:val="nil"/>
          <w:insideV w:val="nil"/>
        </w:tcBorders>
        <w:shd w:val="clear" w:color="auto" w:fill="34B1E6" w:themeFill="accent3" w:themeFillShade="BF"/>
      </w:tcPr>
    </w:tblStylePr>
  </w:style>
  <w:style w:type="table" w:styleId="Mrkliste-fremhvningsfarve4">
    <w:name w:val="Dark List Accent 4"/>
    <w:basedOn w:val="Tabel-Normal"/>
    <w:uiPriority w:val="70"/>
    <w:semiHidden/>
    <w:unhideWhenUsed/>
    <w:rsid w:val="00BC594D"/>
    <w:pPr>
      <w:spacing w:line="240" w:lineRule="auto"/>
    </w:pPr>
    <w:rPr>
      <w:color w:val="FFFFFF" w:themeColor="background1"/>
    </w:rPr>
    <w:tblPr>
      <w:tblStyleRowBandSize w:val="1"/>
      <w:tblStyleColBandSize w:val="1"/>
    </w:tblPr>
    <w:tcPr>
      <w:shd w:val="clear" w:color="auto" w:fill="FFA763"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04C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FF740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FF740A" w:themeFill="accent4" w:themeFillShade="BF"/>
      </w:tcPr>
    </w:tblStylePr>
    <w:tblStylePr w:type="band1Vert">
      <w:tblPr/>
      <w:tcPr>
        <w:tcBorders>
          <w:top w:val="nil"/>
          <w:left w:val="nil"/>
          <w:bottom w:val="nil"/>
          <w:right w:val="nil"/>
          <w:insideH w:val="nil"/>
          <w:insideV w:val="nil"/>
        </w:tcBorders>
        <w:shd w:val="clear" w:color="auto" w:fill="FF740A" w:themeFill="accent4" w:themeFillShade="BF"/>
      </w:tcPr>
    </w:tblStylePr>
    <w:tblStylePr w:type="band1Horz">
      <w:tblPr/>
      <w:tcPr>
        <w:tcBorders>
          <w:top w:val="nil"/>
          <w:left w:val="nil"/>
          <w:bottom w:val="nil"/>
          <w:right w:val="nil"/>
          <w:insideH w:val="nil"/>
          <w:insideV w:val="nil"/>
        </w:tcBorders>
        <w:shd w:val="clear" w:color="auto" w:fill="FF740A" w:themeFill="accent4" w:themeFillShade="BF"/>
      </w:tcPr>
    </w:tblStylePr>
  </w:style>
  <w:style w:type="table" w:styleId="Mrkliste-fremhvningsfarve5">
    <w:name w:val="Dark List Accent 5"/>
    <w:basedOn w:val="Tabel-Normal"/>
    <w:uiPriority w:val="70"/>
    <w:semiHidden/>
    <w:unhideWhenUsed/>
    <w:rsid w:val="00BC594D"/>
    <w:pPr>
      <w:spacing w:line="240" w:lineRule="auto"/>
    </w:pPr>
    <w:rPr>
      <w:color w:val="FFFFFF" w:themeColor="background1"/>
    </w:rPr>
    <w:tblPr>
      <w:tblStyleRowBandSize w:val="1"/>
      <w:tblStyleColBandSize w:val="1"/>
    </w:tblPr>
    <w:tcPr>
      <w:shd w:val="clear" w:color="auto" w:fill="50D691"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B764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9B26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9B26B" w:themeFill="accent5" w:themeFillShade="BF"/>
      </w:tcPr>
    </w:tblStylePr>
    <w:tblStylePr w:type="band1Vert">
      <w:tblPr/>
      <w:tcPr>
        <w:tcBorders>
          <w:top w:val="nil"/>
          <w:left w:val="nil"/>
          <w:bottom w:val="nil"/>
          <w:right w:val="nil"/>
          <w:insideH w:val="nil"/>
          <w:insideV w:val="nil"/>
        </w:tcBorders>
        <w:shd w:val="clear" w:color="auto" w:fill="29B26B" w:themeFill="accent5" w:themeFillShade="BF"/>
      </w:tcPr>
    </w:tblStylePr>
    <w:tblStylePr w:type="band1Horz">
      <w:tblPr/>
      <w:tcPr>
        <w:tcBorders>
          <w:top w:val="nil"/>
          <w:left w:val="nil"/>
          <w:bottom w:val="nil"/>
          <w:right w:val="nil"/>
          <w:insideH w:val="nil"/>
          <w:insideV w:val="nil"/>
        </w:tcBorders>
        <w:shd w:val="clear" w:color="auto" w:fill="29B26B" w:themeFill="accent5" w:themeFillShade="BF"/>
      </w:tcPr>
    </w:tblStylePr>
  </w:style>
  <w:style w:type="table" w:styleId="Mrkliste-fremhvningsfarve6">
    <w:name w:val="Dark List Accent 6"/>
    <w:basedOn w:val="Tabel-Normal"/>
    <w:uiPriority w:val="70"/>
    <w:semiHidden/>
    <w:unhideWhenUsed/>
    <w:rsid w:val="00BC594D"/>
    <w:pPr>
      <w:spacing w:line="240" w:lineRule="auto"/>
    </w:pPr>
    <w:rPr>
      <w:color w:val="FFFFFF" w:themeColor="background1"/>
    </w:rPr>
    <w:tblPr>
      <w:tblStyleRowBandSize w:val="1"/>
      <w:tblStyleColBandSize w:val="1"/>
    </w:tblPr>
    <w:tcPr>
      <w:shd w:val="clear" w:color="auto" w:fill="EFCF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766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39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39A00" w:themeFill="accent6" w:themeFillShade="BF"/>
      </w:tcPr>
    </w:tblStylePr>
    <w:tblStylePr w:type="band1Vert">
      <w:tblPr/>
      <w:tcPr>
        <w:tcBorders>
          <w:top w:val="nil"/>
          <w:left w:val="nil"/>
          <w:bottom w:val="nil"/>
          <w:right w:val="nil"/>
          <w:insideH w:val="nil"/>
          <w:insideV w:val="nil"/>
        </w:tcBorders>
        <w:shd w:val="clear" w:color="auto" w:fill="B39A00" w:themeFill="accent6" w:themeFillShade="BF"/>
      </w:tcPr>
    </w:tblStylePr>
    <w:tblStylePr w:type="band1Horz">
      <w:tblPr/>
      <w:tcPr>
        <w:tcBorders>
          <w:top w:val="nil"/>
          <w:left w:val="nil"/>
          <w:bottom w:val="nil"/>
          <w:right w:val="nil"/>
          <w:insideH w:val="nil"/>
          <w:insideV w:val="nil"/>
        </w:tcBorders>
        <w:shd w:val="clear" w:color="auto" w:fill="B39A00" w:themeFill="accent6" w:themeFillShade="BF"/>
      </w:tcPr>
    </w:tblStylePr>
  </w:style>
  <w:style w:type="paragraph" w:styleId="Dato">
    <w:name w:val="Date"/>
    <w:basedOn w:val="Normal"/>
    <w:next w:val="Normal"/>
    <w:link w:val="DatoTegn"/>
    <w:uiPriority w:val="99"/>
    <w:semiHidden/>
    <w:rsid w:val="00BC594D"/>
  </w:style>
  <w:style w:type="character" w:customStyle="1" w:styleId="DatoTegn">
    <w:name w:val="Dato Tegn"/>
    <w:basedOn w:val="Standardskrifttypeiafsnit"/>
    <w:link w:val="Dato"/>
    <w:uiPriority w:val="99"/>
    <w:semiHidden/>
    <w:rsid w:val="00BC594D"/>
    <w:rPr>
      <w:lang w:val="da-DK"/>
    </w:rPr>
  </w:style>
  <w:style w:type="paragraph" w:styleId="Dokumentoversigt">
    <w:name w:val="Document Map"/>
    <w:basedOn w:val="Normal"/>
    <w:link w:val="DokumentoversigtTegn"/>
    <w:uiPriority w:val="99"/>
    <w:semiHidden/>
    <w:rsid w:val="00BC594D"/>
    <w:pPr>
      <w:spacing w:line="240" w:lineRule="auto"/>
    </w:pPr>
    <w:rPr>
      <w:rFonts w:ascii="Segoe UI" w:hAnsi="Segoe UI" w:cs="Segoe UI"/>
      <w:sz w:val="16"/>
      <w:szCs w:val="16"/>
    </w:rPr>
  </w:style>
  <w:style w:type="character" w:customStyle="1" w:styleId="DokumentoversigtTegn">
    <w:name w:val="Dokumentoversigt Tegn"/>
    <w:basedOn w:val="Standardskrifttypeiafsnit"/>
    <w:link w:val="Dokumentoversigt"/>
    <w:uiPriority w:val="99"/>
    <w:semiHidden/>
    <w:rsid w:val="00BC594D"/>
    <w:rPr>
      <w:rFonts w:ascii="Segoe UI" w:hAnsi="Segoe UI" w:cs="Segoe UI"/>
      <w:sz w:val="16"/>
      <w:szCs w:val="16"/>
      <w:lang w:val="da-DK"/>
    </w:rPr>
  </w:style>
  <w:style w:type="paragraph" w:styleId="Mailsignatur">
    <w:name w:val="E-mail Signature"/>
    <w:basedOn w:val="Normal"/>
    <w:link w:val="MailsignaturTegn"/>
    <w:uiPriority w:val="99"/>
    <w:semiHidden/>
    <w:rsid w:val="00BC594D"/>
    <w:pPr>
      <w:spacing w:line="240" w:lineRule="auto"/>
    </w:pPr>
  </w:style>
  <w:style w:type="character" w:customStyle="1" w:styleId="MailsignaturTegn">
    <w:name w:val="Mailsignatur Tegn"/>
    <w:basedOn w:val="Standardskrifttypeiafsnit"/>
    <w:link w:val="Mailsignatur"/>
    <w:uiPriority w:val="99"/>
    <w:semiHidden/>
    <w:rsid w:val="00BC594D"/>
    <w:rPr>
      <w:lang w:val="da-DK"/>
    </w:rPr>
  </w:style>
  <w:style w:type="character" w:styleId="Fremhv">
    <w:name w:val="Emphasis"/>
    <w:basedOn w:val="Standardskrifttypeiafsnit"/>
    <w:uiPriority w:val="20"/>
    <w:qFormat/>
    <w:rsid w:val="00BC594D"/>
    <w:rPr>
      <w:i/>
      <w:iCs/>
      <w:lang w:val="da-DK"/>
    </w:rPr>
  </w:style>
  <w:style w:type="paragraph" w:styleId="Modtageradresse">
    <w:name w:val="envelope address"/>
    <w:basedOn w:val="Normal"/>
    <w:uiPriority w:val="99"/>
    <w:semiHidden/>
    <w:rsid w:val="00BC594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Afsenderadresse">
    <w:name w:val="envelope return"/>
    <w:basedOn w:val="Normal"/>
    <w:uiPriority w:val="99"/>
    <w:semiHidden/>
    <w:rsid w:val="00BC594D"/>
    <w:pPr>
      <w:spacing w:line="240" w:lineRule="auto"/>
    </w:pPr>
    <w:rPr>
      <w:rFonts w:asciiTheme="majorHAnsi" w:eastAsiaTheme="majorEastAsia" w:hAnsiTheme="majorHAnsi" w:cstheme="majorBidi"/>
    </w:rPr>
  </w:style>
  <w:style w:type="character" w:styleId="BesgtLink">
    <w:name w:val="FollowedHyperlink"/>
    <w:basedOn w:val="Standardskrifttypeiafsnit"/>
    <w:uiPriority w:val="21"/>
    <w:semiHidden/>
    <w:rsid w:val="00BC594D"/>
    <w:rPr>
      <w:color w:val="6B8994" w:themeColor="followedHyperlink"/>
      <w:u w:val="single"/>
      <w:lang w:val="da-DK"/>
    </w:rPr>
  </w:style>
  <w:style w:type="character" w:styleId="Fodnotehenvisning">
    <w:name w:val="footnote reference"/>
    <w:aliases w:val="*Footnote Reference,ONLINE USE ONLY,fr,Fodnote"/>
    <w:basedOn w:val="Standardskrifttypeiafsnit"/>
    <w:uiPriority w:val="21"/>
    <w:rsid w:val="00BC594D"/>
    <w:rPr>
      <w:vertAlign w:val="superscript"/>
      <w:lang w:val="da-DK"/>
    </w:rPr>
  </w:style>
  <w:style w:type="table" w:styleId="Gittertabel1-lys">
    <w:name w:val="Grid Table 1 Light"/>
    <w:basedOn w:val="Tabel-Normal"/>
    <w:uiPriority w:val="46"/>
    <w:rsid w:val="00BC594D"/>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tabel1-lys-farve1">
    <w:name w:val="Grid Table 1 Light Accent 1"/>
    <w:basedOn w:val="Tabel-Normal"/>
    <w:uiPriority w:val="46"/>
    <w:rsid w:val="00BC594D"/>
    <w:pPr>
      <w:spacing w:line="240" w:lineRule="auto"/>
    </w:pPr>
    <w:tblPr>
      <w:tblStyleRowBandSize w:val="1"/>
      <w:tblStyleColBandSize w:val="1"/>
      <w:tblBorders>
        <w:top w:val="single" w:sz="4" w:space="0" w:color="C3CFD4" w:themeColor="accent1" w:themeTint="66"/>
        <w:left w:val="single" w:sz="4" w:space="0" w:color="C3CFD4" w:themeColor="accent1" w:themeTint="66"/>
        <w:bottom w:val="single" w:sz="4" w:space="0" w:color="C3CFD4" w:themeColor="accent1" w:themeTint="66"/>
        <w:right w:val="single" w:sz="4" w:space="0" w:color="C3CFD4" w:themeColor="accent1" w:themeTint="66"/>
        <w:insideH w:val="single" w:sz="4" w:space="0" w:color="C3CFD4" w:themeColor="accent1" w:themeTint="66"/>
        <w:insideV w:val="single" w:sz="4" w:space="0" w:color="C3CFD4" w:themeColor="accent1" w:themeTint="66"/>
      </w:tblBorders>
    </w:tblPr>
    <w:tblStylePr w:type="firstRow">
      <w:rPr>
        <w:b/>
        <w:bCs/>
      </w:rPr>
      <w:tblPr/>
      <w:tcPr>
        <w:tcBorders>
          <w:bottom w:val="single" w:sz="12" w:space="0" w:color="A6B8BE" w:themeColor="accent1" w:themeTint="99"/>
        </w:tcBorders>
      </w:tcPr>
    </w:tblStylePr>
    <w:tblStylePr w:type="lastRow">
      <w:rPr>
        <w:b/>
        <w:bCs/>
      </w:rPr>
      <w:tblPr/>
      <w:tcPr>
        <w:tcBorders>
          <w:top w:val="double" w:sz="2" w:space="0" w:color="A6B8BE" w:themeColor="accent1" w:themeTint="99"/>
        </w:tcBorders>
      </w:tcPr>
    </w:tblStylePr>
    <w:tblStylePr w:type="firstCol">
      <w:rPr>
        <w:b/>
        <w:bCs/>
      </w:rPr>
    </w:tblStylePr>
    <w:tblStylePr w:type="lastCol">
      <w:rPr>
        <w:b/>
        <w:bCs/>
      </w:rPr>
    </w:tblStylePr>
  </w:style>
  <w:style w:type="table" w:styleId="Gittertabel1-lys-farve2">
    <w:name w:val="Grid Table 1 Light Accent 2"/>
    <w:basedOn w:val="Tabel-Normal"/>
    <w:uiPriority w:val="46"/>
    <w:rsid w:val="00BC594D"/>
    <w:pPr>
      <w:spacing w:line="240" w:lineRule="auto"/>
    </w:pPr>
    <w:tblPr>
      <w:tblStyleRowBandSize w:val="1"/>
      <w:tblStyleColBandSize w:val="1"/>
      <w:tblBorders>
        <w:top w:val="single" w:sz="4" w:space="0" w:color="63D6FF" w:themeColor="accent2" w:themeTint="66"/>
        <w:left w:val="single" w:sz="4" w:space="0" w:color="63D6FF" w:themeColor="accent2" w:themeTint="66"/>
        <w:bottom w:val="single" w:sz="4" w:space="0" w:color="63D6FF" w:themeColor="accent2" w:themeTint="66"/>
        <w:right w:val="single" w:sz="4" w:space="0" w:color="63D6FF" w:themeColor="accent2" w:themeTint="66"/>
        <w:insideH w:val="single" w:sz="4" w:space="0" w:color="63D6FF" w:themeColor="accent2" w:themeTint="66"/>
        <w:insideV w:val="single" w:sz="4" w:space="0" w:color="63D6FF" w:themeColor="accent2" w:themeTint="66"/>
      </w:tblBorders>
    </w:tblPr>
    <w:tblStylePr w:type="firstRow">
      <w:rPr>
        <w:b/>
        <w:bCs/>
      </w:rPr>
      <w:tblPr/>
      <w:tcPr>
        <w:tcBorders>
          <w:bottom w:val="single" w:sz="12" w:space="0" w:color="15C2FF" w:themeColor="accent2" w:themeTint="99"/>
        </w:tcBorders>
      </w:tcPr>
    </w:tblStylePr>
    <w:tblStylePr w:type="lastRow">
      <w:rPr>
        <w:b/>
        <w:bCs/>
      </w:rPr>
      <w:tblPr/>
      <w:tcPr>
        <w:tcBorders>
          <w:top w:val="double" w:sz="2" w:space="0" w:color="15C2FF" w:themeColor="accent2" w:themeTint="99"/>
        </w:tcBorders>
      </w:tcPr>
    </w:tblStylePr>
    <w:tblStylePr w:type="firstCol">
      <w:rPr>
        <w:b/>
        <w:bCs/>
      </w:rPr>
    </w:tblStylePr>
    <w:tblStylePr w:type="lastCol">
      <w:rPr>
        <w:b/>
        <w:bCs/>
      </w:rPr>
    </w:tblStylePr>
  </w:style>
  <w:style w:type="table" w:styleId="Gittertabel1-lys-farve3">
    <w:name w:val="Grid Table 1 Light Accent 3"/>
    <w:basedOn w:val="Tabel-Normal"/>
    <w:uiPriority w:val="46"/>
    <w:rsid w:val="00BC594D"/>
    <w:pPr>
      <w:spacing w:line="240" w:lineRule="auto"/>
    </w:pPr>
    <w:tblPr>
      <w:tblStyleRowBandSize w:val="1"/>
      <w:tblStyleColBandSize w:val="1"/>
      <w:tblBorders>
        <w:top w:val="single" w:sz="4" w:space="0" w:color="CFECF9" w:themeColor="accent3" w:themeTint="66"/>
        <w:left w:val="single" w:sz="4" w:space="0" w:color="CFECF9" w:themeColor="accent3" w:themeTint="66"/>
        <w:bottom w:val="single" w:sz="4" w:space="0" w:color="CFECF9" w:themeColor="accent3" w:themeTint="66"/>
        <w:right w:val="single" w:sz="4" w:space="0" w:color="CFECF9" w:themeColor="accent3" w:themeTint="66"/>
        <w:insideH w:val="single" w:sz="4" w:space="0" w:color="CFECF9" w:themeColor="accent3" w:themeTint="66"/>
        <w:insideV w:val="single" w:sz="4" w:space="0" w:color="CFECF9" w:themeColor="accent3" w:themeTint="66"/>
      </w:tblBorders>
    </w:tblPr>
    <w:tblStylePr w:type="firstRow">
      <w:rPr>
        <w:b/>
        <w:bCs/>
      </w:rPr>
      <w:tblPr/>
      <w:tcPr>
        <w:tcBorders>
          <w:bottom w:val="single" w:sz="12" w:space="0" w:color="B8E3F6" w:themeColor="accent3" w:themeTint="99"/>
        </w:tcBorders>
      </w:tcPr>
    </w:tblStylePr>
    <w:tblStylePr w:type="lastRow">
      <w:rPr>
        <w:b/>
        <w:bCs/>
      </w:rPr>
      <w:tblPr/>
      <w:tcPr>
        <w:tcBorders>
          <w:top w:val="double" w:sz="2" w:space="0" w:color="B8E3F6" w:themeColor="accent3" w:themeTint="99"/>
        </w:tcBorders>
      </w:tcPr>
    </w:tblStylePr>
    <w:tblStylePr w:type="firstCol">
      <w:rPr>
        <w:b/>
        <w:bCs/>
      </w:rPr>
    </w:tblStylePr>
    <w:tblStylePr w:type="lastCol">
      <w:rPr>
        <w:b/>
        <w:bCs/>
      </w:rPr>
    </w:tblStylePr>
  </w:style>
  <w:style w:type="table" w:styleId="Gittertabel1-lys-farve4">
    <w:name w:val="Grid Table 1 Light Accent 4"/>
    <w:basedOn w:val="Tabel-Normal"/>
    <w:uiPriority w:val="46"/>
    <w:rsid w:val="00BC594D"/>
    <w:pPr>
      <w:spacing w:line="240" w:lineRule="auto"/>
    </w:pPr>
    <w:tblPr>
      <w:tblStyleRowBandSize w:val="1"/>
      <w:tblStyleColBandSize w:val="1"/>
      <w:tblBorders>
        <w:top w:val="single" w:sz="4" w:space="0" w:color="FFDBC0" w:themeColor="accent4" w:themeTint="66"/>
        <w:left w:val="single" w:sz="4" w:space="0" w:color="FFDBC0" w:themeColor="accent4" w:themeTint="66"/>
        <w:bottom w:val="single" w:sz="4" w:space="0" w:color="FFDBC0" w:themeColor="accent4" w:themeTint="66"/>
        <w:right w:val="single" w:sz="4" w:space="0" w:color="FFDBC0" w:themeColor="accent4" w:themeTint="66"/>
        <w:insideH w:val="single" w:sz="4" w:space="0" w:color="FFDBC0" w:themeColor="accent4" w:themeTint="66"/>
        <w:insideV w:val="single" w:sz="4" w:space="0" w:color="FFDBC0" w:themeColor="accent4" w:themeTint="66"/>
      </w:tblBorders>
    </w:tblPr>
    <w:tblStylePr w:type="firstRow">
      <w:rPr>
        <w:b/>
        <w:bCs/>
      </w:rPr>
      <w:tblPr/>
      <w:tcPr>
        <w:tcBorders>
          <w:bottom w:val="single" w:sz="12" w:space="0" w:color="FFCAA1" w:themeColor="accent4" w:themeTint="99"/>
        </w:tcBorders>
      </w:tcPr>
    </w:tblStylePr>
    <w:tblStylePr w:type="lastRow">
      <w:rPr>
        <w:b/>
        <w:bCs/>
      </w:rPr>
      <w:tblPr/>
      <w:tcPr>
        <w:tcBorders>
          <w:top w:val="double" w:sz="2" w:space="0" w:color="FFCAA1" w:themeColor="accent4" w:themeTint="99"/>
        </w:tcBorders>
      </w:tcPr>
    </w:tblStylePr>
    <w:tblStylePr w:type="firstCol">
      <w:rPr>
        <w:b/>
        <w:bCs/>
      </w:rPr>
    </w:tblStylePr>
    <w:tblStylePr w:type="lastCol">
      <w:rPr>
        <w:b/>
        <w:bCs/>
      </w:rPr>
    </w:tblStylePr>
  </w:style>
  <w:style w:type="table" w:styleId="Gittertabel1-lys-farve5">
    <w:name w:val="Grid Table 1 Light Accent 5"/>
    <w:basedOn w:val="Tabel-Normal"/>
    <w:uiPriority w:val="46"/>
    <w:rsid w:val="00BC594D"/>
    <w:pPr>
      <w:spacing w:line="240" w:lineRule="auto"/>
    </w:pPr>
    <w:tblPr>
      <w:tblStyleRowBandSize w:val="1"/>
      <w:tblStyleColBandSize w:val="1"/>
      <w:tblBorders>
        <w:top w:val="single" w:sz="4" w:space="0" w:color="B8EED2" w:themeColor="accent5" w:themeTint="66"/>
        <w:left w:val="single" w:sz="4" w:space="0" w:color="B8EED2" w:themeColor="accent5" w:themeTint="66"/>
        <w:bottom w:val="single" w:sz="4" w:space="0" w:color="B8EED2" w:themeColor="accent5" w:themeTint="66"/>
        <w:right w:val="single" w:sz="4" w:space="0" w:color="B8EED2" w:themeColor="accent5" w:themeTint="66"/>
        <w:insideH w:val="single" w:sz="4" w:space="0" w:color="B8EED2" w:themeColor="accent5" w:themeTint="66"/>
        <w:insideV w:val="single" w:sz="4" w:space="0" w:color="B8EED2" w:themeColor="accent5" w:themeTint="66"/>
      </w:tblBorders>
    </w:tblPr>
    <w:tblStylePr w:type="firstRow">
      <w:rPr>
        <w:b/>
        <w:bCs/>
      </w:rPr>
      <w:tblPr/>
      <w:tcPr>
        <w:tcBorders>
          <w:bottom w:val="single" w:sz="12" w:space="0" w:color="95E6BC" w:themeColor="accent5" w:themeTint="99"/>
        </w:tcBorders>
      </w:tcPr>
    </w:tblStylePr>
    <w:tblStylePr w:type="lastRow">
      <w:rPr>
        <w:b/>
        <w:bCs/>
      </w:rPr>
      <w:tblPr/>
      <w:tcPr>
        <w:tcBorders>
          <w:top w:val="double" w:sz="2" w:space="0" w:color="95E6BC" w:themeColor="accent5" w:themeTint="99"/>
        </w:tcBorders>
      </w:tcPr>
    </w:tblStylePr>
    <w:tblStylePr w:type="firstCol">
      <w:rPr>
        <w:b/>
        <w:bCs/>
      </w:rPr>
    </w:tblStylePr>
    <w:tblStylePr w:type="lastCol">
      <w:rPr>
        <w:b/>
        <w:bCs/>
      </w:rPr>
    </w:tblStylePr>
  </w:style>
  <w:style w:type="table" w:styleId="Gittertabel1-lys-farve6">
    <w:name w:val="Grid Table 1 Light Accent 6"/>
    <w:basedOn w:val="Tabel-Normal"/>
    <w:uiPriority w:val="46"/>
    <w:rsid w:val="00BC594D"/>
    <w:pPr>
      <w:spacing w:line="240" w:lineRule="auto"/>
    </w:pPr>
    <w:tblPr>
      <w:tblStyleRowBandSize w:val="1"/>
      <w:tblStyleColBandSize w:val="1"/>
      <w:tblBorders>
        <w:top w:val="single" w:sz="4" w:space="0" w:color="FFF092" w:themeColor="accent6" w:themeTint="66"/>
        <w:left w:val="single" w:sz="4" w:space="0" w:color="FFF092" w:themeColor="accent6" w:themeTint="66"/>
        <w:bottom w:val="single" w:sz="4" w:space="0" w:color="FFF092" w:themeColor="accent6" w:themeTint="66"/>
        <w:right w:val="single" w:sz="4" w:space="0" w:color="FFF092" w:themeColor="accent6" w:themeTint="66"/>
        <w:insideH w:val="single" w:sz="4" w:space="0" w:color="FFF092" w:themeColor="accent6" w:themeTint="66"/>
        <w:insideV w:val="single" w:sz="4" w:space="0" w:color="FFF092" w:themeColor="accent6" w:themeTint="66"/>
      </w:tblBorders>
    </w:tblPr>
    <w:tblStylePr w:type="firstRow">
      <w:rPr>
        <w:b/>
        <w:bCs/>
      </w:rPr>
      <w:tblPr/>
      <w:tcPr>
        <w:tcBorders>
          <w:bottom w:val="single" w:sz="12" w:space="0" w:color="FFE85C" w:themeColor="accent6" w:themeTint="99"/>
        </w:tcBorders>
      </w:tcPr>
    </w:tblStylePr>
    <w:tblStylePr w:type="lastRow">
      <w:rPr>
        <w:b/>
        <w:bCs/>
      </w:rPr>
      <w:tblPr/>
      <w:tcPr>
        <w:tcBorders>
          <w:top w:val="double" w:sz="2" w:space="0" w:color="FFE85C" w:themeColor="accent6" w:themeTint="99"/>
        </w:tcBorders>
      </w:tcPr>
    </w:tblStylePr>
    <w:tblStylePr w:type="firstCol">
      <w:rPr>
        <w:b/>
        <w:bCs/>
      </w:rPr>
    </w:tblStylePr>
    <w:tblStylePr w:type="lastCol">
      <w:rPr>
        <w:b/>
        <w:bCs/>
      </w:rPr>
    </w:tblStylePr>
  </w:style>
  <w:style w:type="table" w:styleId="Gittertabel2">
    <w:name w:val="Grid Table 2"/>
    <w:basedOn w:val="Tabel-Normal"/>
    <w:uiPriority w:val="47"/>
    <w:rsid w:val="00BC594D"/>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2-farve1">
    <w:name w:val="Grid Table 2 Accent 1"/>
    <w:basedOn w:val="Tabel-Normal"/>
    <w:uiPriority w:val="47"/>
    <w:rsid w:val="00BC594D"/>
    <w:pPr>
      <w:spacing w:line="240" w:lineRule="auto"/>
    </w:pPr>
    <w:tblPr>
      <w:tblStyleRowBandSize w:val="1"/>
      <w:tblStyleColBandSize w:val="1"/>
      <w:tblBorders>
        <w:top w:val="single" w:sz="2" w:space="0" w:color="A6B8BE" w:themeColor="accent1" w:themeTint="99"/>
        <w:bottom w:val="single" w:sz="2" w:space="0" w:color="A6B8BE" w:themeColor="accent1" w:themeTint="99"/>
        <w:insideH w:val="single" w:sz="2" w:space="0" w:color="A6B8BE" w:themeColor="accent1" w:themeTint="99"/>
        <w:insideV w:val="single" w:sz="2" w:space="0" w:color="A6B8BE" w:themeColor="accent1" w:themeTint="99"/>
      </w:tblBorders>
    </w:tblPr>
    <w:tblStylePr w:type="firstRow">
      <w:rPr>
        <w:b/>
        <w:bCs/>
      </w:rPr>
      <w:tblPr/>
      <w:tcPr>
        <w:tcBorders>
          <w:top w:val="nil"/>
          <w:bottom w:val="single" w:sz="12" w:space="0" w:color="A6B8BE" w:themeColor="accent1" w:themeTint="99"/>
          <w:insideH w:val="nil"/>
          <w:insideV w:val="nil"/>
        </w:tcBorders>
        <w:shd w:val="clear" w:color="auto" w:fill="FFFFFF" w:themeFill="background1"/>
      </w:tcPr>
    </w:tblStylePr>
    <w:tblStylePr w:type="lastRow">
      <w:rPr>
        <w:b/>
        <w:bCs/>
      </w:rPr>
      <w:tblPr/>
      <w:tcPr>
        <w:tcBorders>
          <w:top w:val="double" w:sz="2" w:space="0" w:color="A6B8B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7E9" w:themeFill="accent1" w:themeFillTint="33"/>
      </w:tcPr>
    </w:tblStylePr>
    <w:tblStylePr w:type="band1Horz">
      <w:tblPr/>
      <w:tcPr>
        <w:shd w:val="clear" w:color="auto" w:fill="E1E7E9" w:themeFill="accent1" w:themeFillTint="33"/>
      </w:tcPr>
    </w:tblStylePr>
  </w:style>
  <w:style w:type="table" w:styleId="Gittertabel2-farve2">
    <w:name w:val="Grid Table 2 Accent 2"/>
    <w:basedOn w:val="Tabel-Normal"/>
    <w:uiPriority w:val="47"/>
    <w:rsid w:val="00BC594D"/>
    <w:pPr>
      <w:spacing w:line="240" w:lineRule="auto"/>
    </w:pPr>
    <w:tblPr>
      <w:tblStyleRowBandSize w:val="1"/>
      <w:tblStyleColBandSize w:val="1"/>
      <w:tblBorders>
        <w:top w:val="single" w:sz="2" w:space="0" w:color="15C2FF" w:themeColor="accent2" w:themeTint="99"/>
        <w:bottom w:val="single" w:sz="2" w:space="0" w:color="15C2FF" w:themeColor="accent2" w:themeTint="99"/>
        <w:insideH w:val="single" w:sz="2" w:space="0" w:color="15C2FF" w:themeColor="accent2" w:themeTint="99"/>
        <w:insideV w:val="single" w:sz="2" w:space="0" w:color="15C2FF" w:themeColor="accent2" w:themeTint="99"/>
      </w:tblBorders>
    </w:tblPr>
    <w:tblStylePr w:type="firstRow">
      <w:rPr>
        <w:b/>
        <w:bCs/>
      </w:rPr>
      <w:tblPr/>
      <w:tcPr>
        <w:tcBorders>
          <w:top w:val="nil"/>
          <w:bottom w:val="single" w:sz="12" w:space="0" w:color="15C2FF" w:themeColor="accent2" w:themeTint="99"/>
          <w:insideH w:val="nil"/>
          <w:insideV w:val="nil"/>
        </w:tcBorders>
        <w:shd w:val="clear" w:color="auto" w:fill="FFFFFF" w:themeFill="background1"/>
      </w:tcPr>
    </w:tblStylePr>
    <w:tblStylePr w:type="lastRow">
      <w:rPr>
        <w:b/>
        <w:bCs/>
      </w:rPr>
      <w:tblPr/>
      <w:tcPr>
        <w:tcBorders>
          <w:top w:val="double" w:sz="2" w:space="0" w:color="15C2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1EAFF" w:themeFill="accent2" w:themeFillTint="33"/>
      </w:tcPr>
    </w:tblStylePr>
    <w:tblStylePr w:type="band1Horz">
      <w:tblPr/>
      <w:tcPr>
        <w:shd w:val="clear" w:color="auto" w:fill="B1EAFF" w:themeFill="accent2" w:themeFillTint="33"/>
      </w:tcPr>
    </w:tblStylePr>
  </w:style>
  <w:style w:type="table" w:styleId="Gittertabel2-farve3">
    <w:name w:val="Grid Table 2 Accent 3"/>
    <w:basedOn w:val="Tabel-Normal"/>
    <w:uiPriority w:val="47"/>
    <w:rsid w:val="00BC594D"/>
    <w:pPr>
      <w:spacing w:line="240" w:lineRule="auto"/>
    </w:pPr>
    <w:tblPr>
      <w:tblStyleRowBandSize w:val="1"/>
      <w:tblStyleColBandSize w:val="1"/>
      <w:tblBorders>
        <w:top w:val="single" w:sz="2" w:space="0" w:color="B8E3F6" w:themeColor="accent3" w:themeTint="99"/>
        <w:bottom w:val="single" w:sz="2" w:space="0" w:color="B8E3F6" w:themeColor="accent3" w:themeTint="99"/>
        <w:insideH w:val="single" w:sz="2" w:space="0" w:color="B8E3F6" w:themeColor="accent3" w:themeTint="99"/>
        <w:insideV w:val="single" w:sz="2" w:space="0" w:color="B8E3F6" w:themeColor="accent3" w:themeTint="99"/>
      </w:tblBorders>
    </w:tblPr>
    <w:tblStylePr w:type="firstRow">
      <w:rPr>
        <w:b/>
        <w:bCs/>
      </w:rPr>
      <w:tblPr/>
      <w:tcPr>
        <w:tcBorders>
          <w:top w:val="nil"/>
          <w:bottom w:val="single" w:sz="12" w:space="0" w:color="B8E3F6" w:themeColor="accent3" w:themeTint="99"/>
          <w:insideH w:val="nil"/>
          <w:insideV w:val="nil"/>
        </w:tcBorders>
        <w:shd w:val="clear" w:color="auto" w:fill="FFFFFF" w:themeFill="background1"/>
      </w:tcPr>
    </w:tblStylePr>
    <w:tblStylePr w:type="lastRow">
      <w:rPr>
        <w:b/>
        <w:bCs/>
      </w:rPr>
      <w:tblPr/>
      <w:tcPr>
        <w:tcBorders>
          <w:top w:val="double" w:sz="2" w:space="0" w:color="B8E3F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F5FC" w:themeFill="accent3" w:themeFillTint="33"/>
      </w:tcPr>
    </w:tblStylePr>
    <w:tblStylePr w:type="band1Horz">
      <w:tblPr/>
      <w:tcPr>
        <w:shd w:val="clear" w:color="auto" w:fill="E7F5FC" w:themeFill="accent3" w:themeFillTint="33"/>
      </w:tcPr>
    </w:tblStylePr>
  </w:style>
  <w:style w:type="table" w:styleId="Gittertabel2-farve4">
    <w:name w:val="Grid Table 2 Accent 4"/>
    <w:basedOn w:val="Tabel-Normal"/>
    <w:uiPriority w:val="47"/>
    <w:rsid w:val="00BC594D"/>
    <w:pPr>
      <w:spacing w:line="240" w:lineRule="auto"/>
    </w:pPr>
    <w:tblPr>
      <w:tblStyleRowBandSize w:val="1"/>
      <w:tblStyleColBandSize w:val="1"/>
      <w:tblBorders>
        <w:top w:val="single" w:sz="2" w:space="0" w:color="FFCAA1" w:themeColor="accent4" w:themeTint="99"/>
        <w:bottom w:val="single" w:sz="2" w:space="0" w:color="FFCAA1" w:themeColor="accent4" w:themeTint="99"/>
        <w:insideH w:val="single" w:sz="2" w:space="0" w:color="FFCAA1" w:themeColor="accent4" w:themeTint="99"/>
        <w:insideV w:val="single" w:sz="2" w:space="0" w:color="FFCAA1" w:themeColor="accent4" w:themeTint="99"/>
      </w:tblBorders>
    </w:tblPr>
    <w:tblStylePr w:type="firstRow">
      <w:rPr>
        <w:b/>
        <w:bCs/>
      </w:rPr>
      <w:tblPr/>
      <w:tcPr>
        <w:tcBorders>
          <w:top w:val="nil"/>
          <w:bottom w:val="single" w:sz="12" w:space="0" w:color="FFCAA1" w:themeColor="accent4" w:themeTint="99"/>
          <w:insideH w:val="nil"/>
          <w:insideV w:val="nil"/>
        </w:tcBorders>
        <w:shd w:val="clear" w:color="auto" w:fill="FFFFFF" w:themeFill="background1"/>
      </w:tcPr>
    </w:tblStylePr>
    <w:tblStylePr w:type="lastRow">
      <w:rPr>
        <w:b/>
        <w:bCs/>
      </w:rPr>
      <w:tblPr/>
      <w:tcPr>
        <w:tcBorders>
          <w:top w:val="double" w:sz="2" w:space="0" w:color="FFCAA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DDF" w:themeFill="accent4" w:themeFillTint="33"/>
      </w:tcPr>
    </w:tblStylePr>
    <w:tblStylePr w:type="band1Horz">
      <w:tblPr/>
      <w:tcPr>
        <w:shd w:val="clear" w:color="auto" w:fill="FFEDDF" w:themeFill="accent4" w:themeFillTint="33"/>
      </w:tcPr>
    </w:tblStylePr>
  </w:style>
  <w:style w:type="table" w:styleId="Gittertabel2-farve5">
    <w:name w:val="Grid Table 2 Accent 5"/>
    <w:basedOn w:val="Tabel-Normal"/>
    <w:uiPriority w:val="47"/>
    <w:rsid w:val="00BC594D"/>
    <w:pPr>
      <w:spacing w:line="240" w:lineRule="auto"/>
    </w:pPr>
    <w:tblPr>
      <w:tblStyleRowBandSize w:val="1"/>
      <w:tblStyleColBandSize w:val="1"/>
      <w:tblBorders>
        <w:top w:val="single" w:sz="2" w:space="0" w:color="95E6BC" w:themeColor="accent5" w:themeTint="99"/>
        <w:bottom w:val="single" w:sz="2" w:space="0" w:color="95E6BC" w:themeColor="accent5" w:themeTint="99"/>
        <w:insideH w:val="single" w:sz="2" w:space="0" w:color="95E6BC" w:themeColor="accent5" w:themeTint="99"/>
        <w:insideV w:val="single" w:sz="2" w:space="0" w:color="95E6BC" w:themeColor="accent5" w:themeTint="99"/>
      </w:tblBorders>
    </w:tblPr>
    <w:tblStylePr w:type="firstRow">
      <w:rPr>
        <w:b/>
        <w:bCs/>
      </w:rPr>
      <w:tblPr/>
      <w:tcPr>
        <w:tcBorders>
          <w:top w:val="nil"/>
          <w:bottom w:val="single" w:sz="12" w:space="0" w:color="95E6BC" w:themeColor="accent5" w:themeTint="99"/>
          <w:insideH w:val="nil"/>
          <w:insideV w:val="nil"/>
        </w:tcBorders>
        <w:shd w:val="clear" w:color="auto" w:fill="FFFFFF" w:themeFill="background1"/>
      </w:tcPr>
    </w:tblStylePr>
    <w:tblStylePr w:type="lastRow">
      <w:rPr>
        <w:b/>
        <w:bCs/>
      </w:rPr>
      <w:tblPr/>
      <w:tcPr>
        <w:tcBorders>
          <w:top w:val="double" w:sz="2" w:space="0" w:color="95E6B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F6E8" w:themeFill="accent5" w:themeFillTint="33"/>
      </w:tcPr>
    </w:tblStylePr>
    <w:tblStylePr w:type="band1Horz">
      <w:tblPr/>
      <w:tcPr>
        <w:shd w:val="clear" w:color="auto" w:fill="DBF6E8" w:themeFill="accent5" w:themeFillTint="33"/>
      </w:tcPr>
    </w:tblStylePr>
  </w:style>
  <w:style w:type="table" w:styleId="Gittertabel2-farve6">
    <w:name w:val="Grid Table 2 Accent 6"/>
    <w:basedOn w:val="Tabel-Normal"/>
    <w:uiPriority w:val="47"/>
    <w:rsid w:val="00BC594D"/>
    <w:pPr>
      <w:spacing w:line="240" w:lineRule="auto"/>
    </w:pPr>
    <w:tblPr>
      <w:tblStyleRowBandSize w:val="1"/>
      <w:tblStyleColBandSize w:val="1"/>
      <w:tblBorders>
        <w:top w:val="single" w:sz="2" w:space="0" w:color="FFE85C" w:themeColor="accent6" w:themeTint="99"/>
        <w:bottom w:val="single" w:sz="2" w:space="0" w:color="FFE85C" w:themeColor="accent6" w:themeTint="99"/>
        <w:insideH w:val="single" w:sz="2" w:space="0" w:color="FFE85C" w:themeColor="accent6" w:themeTint="99"/>
        <w:insideV w:val="single" w:sz="2" w:space="0" w:color="FFE85C" w:themeColor="accent6" w:themeTint="99"/>
      </w:tblBorders>
    </w:tblPr>
    <w:tblStylePr w:type="firstRow">
      <w:rPr>
        <w:b/>
        <w:bCs/>
      </w:rPr>
      <w:tblPr/>
      <w:tcPr>
        <w:tcBorders>
          <w:top w:val="nil"/>
          <w:bottom w:val="single" w:sz="12" w:space="0" w:color="FFE85C" w:themeColor="accent6" w:themeTint="99"/>
          <w:insideH w:val="nil"/>
          <w:insideV w:val="nil"/>
        </w:tcBorders>
        <w:shd w:val="clear" w:color="auto" w:fill="FFFFFF" w:themeFill="background1"/>
      </w:tcPr>
    </w:tblStylePr>
    <w:tblStylePr w:type="lastRow">
      <w:rPr>
        <w:b/>
        <w:bCs/>
      </w:rPr>
      <w:tblPr/>
      <w:tcPr>
        <w:tcBorders>
          <w:top w:val="double" w:sz="2" w:space="0" w:color="FFE85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7C8" w:themeFill="accent6" w:themeFillTint="33"/>
      </w:tcPr>
    </w:tblStylePr>
    <w:tblStylePr w:type="band1Horz">
      <w:tblPr/>
      <w:tcPr>
        <w:shd w:val="clear" w:color="auto" w:fill="FFF7C8" w:themeFill="accent6" w:themeFillTint="33"/>
      </w:tcPr>
    </w:tblStylePr>
  </w:style>
  <w:style w:type="table" w:styleId="Gittertabel3">
    <w:name w:val="Grid Table 3"/>
    <w:basedOn w:val="Tabel-Normal"/>
    <w:uiPriority w:val="48"/>
    <w:rsid w:val="00BC594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3-farve1">
    <w:name w:val="Grid Table 3 Accent 1"/>
    <w:basedOn w:val="Tabel-Normal"/>
    <w:uiPriority w:val="48"/>
    <w:rsid w:val="00BC594D"/>
    <w:pPr>
      <w:spacing w:line="240" w:lineRule="auto"/>
    </w:pPr>
    <w:tblPr>
      <w:tblStyleRowBandSize w:val="1"/>
      <w:tblStyleColBandSize w:val="1"/>
      <w:tblBorders>
        <w:top w:val="single" w:sz="4" w:space="0" w:color="A6B8BE" w:themeColor="accent1" w:themeTint="99"/>
        <w:left w:val="single" w:sz="4" w:space="0" w:color="A6B8BE" w:themeColor="accent1" w:themeTint="99"/>
        <w:bottom w:val="single" w:sz="4" w:space="0" w:color="A6B8BE" w:themeColor="accent1" w:themeTint="99"/>
        <w:right w:val="single" w:sz="4" w:space="0" w:color="A6B8BE" w:themeColor="accent1" w:themeTint="99"/>
        <w:insideH w:val="single" w:sz="4" w:space="0" w:color="A6B8BE" w:themeColor="accent1" w:themeTint="99"/>
        <w:insideV w:val="single" w:sz="4" w:space="0" w:color="A6B8B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E7E9" w:themeFill="accent1" w:themeFillTint="33"/>
      </w:tcPr>
    </w:tblStylePr>
    <w:tblStylePr w:type="band1Horz">
      <w:tblPr/>
      <w:tcPr>
        <w:shd w:val="clear" w:color="auto" w:fill="E1E7E9" w:themeFill="accent1" w:themeFillTint="33"/>
      </w:tcPr>
    </w:tblStylePr>
    <w:tblStylePr w:type="neCell">
      <w:tblPr/>
      <w:tcPr>
        <w:tcBorders>
          <w:bottom w:val="single" w:sz="4" w:space="0" w:color="A6B8BE" w:themeColor="accent1" w:themeTint="99"/>
        </w:tcBorders>
      </w:tcPr>
    </w:tblStylePr>
    <w:tblStylePr w:type="nwCell">
      <w:tblPr/>
      <w:tcPr>
        <w:tcBorders>
          <w:bottom w:val="single" w:sz="4" w:space="0" w:color="A6B8BE" w:themeColor="accent1" w:themeTint="99"/>
        </w:tcBorders>
      </w:tcPr>
    </w:tblStylePr>
    <w:tblStylePr w:type="seCell">
      <w:tblPr/>
      <w:tcPr>
        <w:tcBorders>
          <w:top w:val="single" w:sz="4" w:space="0" w:color="A6B8BE" w:themeColor="accent1" w:themeTint="99"/>
        </w:tcBorders>
      </w:tcPr>
    </w:tblStylePr>
    <w:tblStylePr w:type="swCell">
      <w:tblPr/>
      <w:tcPr>
        <w:tcBorders>
          <w:top w:val="single" w:sz="4" w:space="0" w:color="A6B8BE" w:themeColor="accent1" w:themeTint="99"/>
        </w:tcBorders>
      </w:tcPr>
    </w:tblStylePr>
  </w:style>
  <w:style w:type="table" w:styleId="Gittertabel3-farve2">
    <w:name w:val="Grid Table 3 Accent 2"/>
    <w:basedOn w:val="Tabel-Normal"/>
    <w:uiPriority w:val="48"/>
    <w:rsid w:val="00BC594D"/>
    <w:pPr>
      <w:spacing w:line="240" w:lineRule="auto"/>
    </w:pPr>
    <w:tblPr>
      <w:tblStyleRowBandSize w:val="1"/>
      <w:tblStyleColBandSize w:val="1"/>
      <w:tblBorders>
        <w:top w:val="single" w:sz="4" w:space="0" w:color="15C2FF" w:themeColor="accent2" w:themeTint="99"/>
        <w:left w:val="single" w:sz="4" w:space="0" w:color="15C2FF" w:themeColor="accent2" w:themeTint="99"/>
        <w:bottom w:val="single" w:sz="4" w:space="0" w:color="15C2FF" w:themeColor="accent2" w:themeTint="99"/>
        <w:right w:val="single" w:sz="4" w:space="0" w:color="15C2FF" w:themeColor="accent2" w:themeTint="99"/>
        <w:insideH w:val="single" w:sz="4" w:space="0" w:color="15C2FF" w:themeColor="accent2" w:themeTint="99"/>
        <w:insideV w:val="single" w:sz="4" w:space="0" w:color="15C2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EAFF" w:themeFill="accent2" w:themeFillTint="33"/>
      </w:tcPr>
    </w:tblStylePr>
    <w:tblStylePr w:type="band1Horz">
      <w:tblPr/>
      <w:tcPr>
        <w:shd w:val="clear" w:color="auto" w:fill="B1EAFF" w:themeFill="accent2" w:themeFillTint="33"/>
      </w:tcPr>
    </w:tblStylePr>
    <w:tblStylePr w:type="neCell">
      <w:tblPr/>
      <w:tcPr>
        <w:tcBorders>
          <w:bottom w:val="single" w:sz="4" w:space="0" w:color="15C2FF" w:themeColor="accent2" w:themeTint="99"/>
        </w:tcBorders>
      </w:tcPr>
    </w:tblStylePr>
    <w:tblStylePr w:type="nwCell">
      <w:tblPr/>
      <w:tcPr>
        <w:tcBorders>
          <w:bottom w:val="single" w:sz="4" w:space="0" w:color="15C2FF" w:themeColor="accent2" w:themeTint="99"/>
        </w:tcBorders>
      </w:tcPr>
    </w:tblStylePr>
    <w:tblStylePr w:type="seCell">
      <w:tblPr/>
      <w:tcPr>
        <w:tcBorders>
          <w:top w:val="single" w:sz="4" w:space="0" w:color="15C2FF" w:themeColor="accent2" w:themeTint="99"/>
        </w:tcBorders>
      </w:tcPr>
    </w:tblStylePr>
    <w:tblStylePr w:type="swCell">
      <w:tblPr/>
      <w:tcPr>
        <w:tcBorders>
          <w:top w:val="single" w:sz="4" w:space="0" w:color="15C2FF" w:themeColor="accent2" w:themeTint="99"/>
        </w:tcBorders>
      </w:tcPr>
    </w:tblStylePr>
  </w:style>
  <w:style w:type="table" w:styleId="Gittertabel3-farve3">
    <w:name w:val="Grid Table 3 Accent 3"/>
    <w:basedOn w:val="Tabel-Normal"/>
    <w:uiPriority w:val="48"/>
    <w:rsid w:val="00BC594D"/>
    <w:pPr>
      <w:spacing w:line="240" w:lineRule="auto"/>
    </w:pPr>
    <w:tblPr>
      <w:tblStyleRowBandSize w:val="1"/>
      <w:tblStyleColBandSize w:val="1"/>
      <w:tblBorders>
        <w:top w:val="single" w:sz="4" w:space="0" w:color="B8E3F6" w:themeColor="accent3" w:themeTint="99"/>
        <w:left w:val="single" w:sz="4" w:space="0" w:color="B8E3F6" w:themeColor="accent3" w:themeTint="99"/>
        <w:bottom w:val="single" w:sz="4" w:space="0" w:color="B8E3F6" w:themeColor="accent3" w:themeTint="99"/>
        <w:right w:val="single" w:sz="4" w:space="0" w:color="B8E3F6" w:themeColor="accent3" w:themeTint="99"/>
        <w:insideH w:val="single" w:sz="4" w:space="0" w:color="B8E3F6" w:themeColor="accent3" w:themeTint="99"/>
        <w:insideV w:val="single" w:sz="4" w:space="0" w:color="B8E3F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5FC" w:themeFill="accent3" w:themeFillTint="33"/>
      </w:tcPr>
    </w:tblStylePr>
    <w:tblStylePr w:type="band1Horz">
      <w:tblPr/>
      <w:tcPr>
        <w:shd w:val="clear" w:color="auto" w:fill="E7F5FC" w:themeFill="accent3" w:themeFillTint="33"/>
      </w:tcPr>
    </w:tblStylePr>
    <w:tblStylePr w:type="neCell">
      <w:tblPr/>
      <w:tcPr>
        <w:tcBorders>
          <w:bottom w:val="single" w:sz="4" w:space="0" w:color="B8E3F6" w:themeColor="accent3" w:themeTint="99"/>
        </w:tcBorders>
      </w:tcPr>
    </w:tblStylePr>
    <w:tblStylePr w:type="nwCell">
      <w:tblPr/>
      <w:tcPr>
        <w:tcBorders>
          <w:bottom w:val="single" w:sz="4" w:space="0" w:color="B8E3F6" w:themeColor="accent3" w:themeTint="99"/>
        </w:tcBorders>
      </w:tcPr>
    </w:tblStylePr>
    <w:tblStylePr w:type="seCell">
      <w:tblPr/>
      <w:tcPr>
        <w:tcBorders>
          <w:top w:val="single" w:sz="4" w:space="0" w:color="B8E3F6" w:themeColor="accent3" w:themeTint="99"/>
        </w:tcBorders>
      </w:tcPr>
    </w:tblStylePr>
    <w:tblStylePr w:type="swCell">
      <w:tblPr/>
      <w:tcPr>
        <w:tcBorders>
          <w:top w:val="single" w:sz="4" w:space="0" w:color="B8E3F6" w:themeColor="accent3" w:themeTint="99"/>
        </w:tcBorders>
      </w:tcPr>
    </w:tblStylePr>
  </w:style>
  <w:style w:type="table" w:styleId="Gittertabel3-farve4">
    <w:name w:val="Grid Table 3 Accent 4"/>
    <w:basedOn w:val="Tabel-Normal"/>
    <w:uiPriority w:val="48"/>
    <w:rsid w:val="00BC594D"/>
    <w:pPr>
      <w:spacing w:line="240" w:lineRule="auto"/>
    </w:pPr>
    <w:tblPr>
      <w:tblStyleRowBandSize w:val="1"/>
      <w:tblStyleColBandSize w:val="1"/>
      <w:tblBorders>
        <w:top w:val="single" w:sz="4" w:space="0" w:color="FFCAA1" w:themeColor="accent4" w:themeTint="99"/>
        <w:left w:val="single" w:sz="4" w:space="0" w:color="FFCAA1" w:themeColor="accent4" w:themeTint="99"/>
        <w:bottom w:val="single" w:sz="4" w:space="0" w:color="FFCAA1" w:themeColor="accent4" w:themeTint="99"/>
        <w:right w:val="single" w:sz="4" w:space="0" w:color="FFCAA1" w:themeColor="accent4" w:themeTint="99"/>
        <w:insideH w:val="single" w:sz="4" w:space="0" w:color="FFCAA1" w:themeColor="accent4" w:themeTint="99"/>
        <w:insideV w:val="single" w:sz="4" w:space="0" w:color="FFCAA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DDF" w:themeFill="accent4" w:themeFillTint="33"/>
      </w:tcPr>
    </w:tblStylePr>
    <w:tblStylePr w:type="band1Horz">
      <w:tblPr/>
      <w:tcPr>
        <w:shd w:val="clear" w:color="auto" w:fill="FFEDDF" w:themeFill="accent4" w:themeFillTint="33"/>
      </w:tcPr>
    </w:tblStylePr>
    <w:tblStylePr w:type="neCell">
      <w:tblPr/>
      <w:tcPr>
        <w:tcBorders>
          <w:bottom w:val="single" w:sz="4" w:space="0" w:color="FFCAA1" w:themeColor="accent4" w:themeTint="99"/>
        </w:tcBorders>
      </w:tcPr>
    </w:tblStylePr>
    <w:tblStylePr w:type="nwCell">
      <w:tblPr/>
      <w:tcPr>
        <w:tcBorders>
          <w:bottom w:val="single" w:sz="4" w:space="0" w:color="FFCAA1" w:themeColor="accent4" w:themeTint="99"/>
        </w:tcBorders>
      </w:tcPr>
    </w:tblStylePr>
    <w:tblStylePr w:type="seCell">
      <w:tblPr/>
      <w:tcPr>
        <w:tcBorders>
          <w:top w:val="single" w:sz="4" w:space="0" w:color="FFCAA1" w:themeColor="accent4" w:themeTint="99"/>
        </w:tcBorders>
      </w:tcPr>
    </w:tblStylePr>
    <w:tblStylePr w:type="swCell">
      <w:tblPr/>
      <w:tcPr>
        <w:tcBorders>
          <w:top w:val="single" w:sz="4" w:space="0" w:color="FFCAA1" w:themeColor="accent4" w:themeTint="99"/>
        </w:tcBorders>
      </w:tcPr>
    </w:tblStylePr>
  </w:style>
  <w:style w:type="table" w:styleId="Gittertabel3-farve5">
    <w:name w:val="Grid Table 3 Accent 5"/>
    <w:basedOn w:val="Tabel-Normal"/>
    <w:uiPriority w:val="48"/>
    <w:rsid w:val="00BC594D"/>
    <w:pPr>
      <w:spacing w:line="240" w:lineRule="auto"/>
    </w:pPr>
    <w:tblPr>
      <w:tblStyleRowBandSize w:val="1"/>
      <w:tblStyleColBandSize w:val="1"/>
      <w:tblBorders>
        <w:top w:val="single" w:sz="4" w:space="0" w:color="95E6BC" w:themeColor="accent5" w:themeTint="99"/>
        <w:left w:val="single" w:sz="4" w:space="0" w:color="95E6BC" w:themeColor="accent5" w:themeTint="99"/>
        <w:bottom w:val="single" w:sz="4" w:space="0" w:color="95E6BC" w:themeColor="accent5" w:themeTint="99"/>
        <w:right w:val="single" w:sz="4" w:space="0" w:color="95E6BC" w:themeColor="accent5" w:themeTint="99"/>
        <w:insideH w:val="single" w:sz="4" w:space="0" w:color="95E6BC" w:themeColor="accent5" w:themeTint="99"/>
        <w:insideV w:val="single" w:sz="4" w:space="0" w:color="95E6B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F6E8" w:themeFill="accent5" w:themeFillTint="33"/>
      </w:tcPr>
    </w:tblStylePr>
    <w:tblStylePr w:type="band1Horz">
      <w:tblPr/>
      <w:tcPr>
        <w:shd w:val="clear" w:color="auto" w:fill="DBF6E8" w:themeFill="accent5" w:themeFillTint="33"/>
      </w:tcPr>
    </w:tblStylePr>
    <w:tblStylePr w:type="neCell">
      <w:tblPr/>
      <w:tcPr>
        <w:tcBorders>
          <w:bottom w:val="single" w:sz="4" w:space="0" w:color="95E6BC" w:themeColor="accent5" w:themeTint="99"/>
        </w:tcBorders>
      </w:tcPr>
    </w:tblStylePr>
    <w:tblStylePr w:type="nwCell">
      <w:tblPr/>
      <w:tcPr>
        <w:tcBorders>
          <w:bottom w:val="single" w:sz="4" w:space="0" w:color="95E6BC" w:themeColor="accent5" w:themeTint="99"/>
        </w:tcBorders>
      </w:tcPr>
    </w:tblStylePr>
    <w:tblStylePr w:type="seCell">
      <w:tblPr/>
      <w:tcPr>
        <w:tcBorders>
          <w:top w:val="single" w:sz="4" w:space="0" w:color="95E6BC" w:themeColor="accent5" w:themeTint="99"/>
        </w:tcBorders>
      </w:tcPr>
    </w:tblStylePr>
    <w:tblStylePr w:type="swCell">
      <w:tblPr/>
      <w:tcPr>
        <w:tcBorders>
          <w:top w:val="single" w:sz="4" w:space="0" w:color="95E6BC" w:themeColor="accent5" w:themeTint="99"/>
        </w:tcBorders>
      </w:tcPr>
    </w:tblStylePr>
  </w:style>
  <w:style w:type="table" w:styleId="Gittertabel3-farve6">
    <w:name w:val="Grid Table 3 Accent 6"/>
    <w:basedOn w:val="Tabel-Normal"/>
    <w:uiPriority w:val="48"/>
    <w:rsid w:val="00BC594D"/>
    <w:pPr>
      <w:spacing w:line="240" w:lineRule="auto"/>
    </w:pPr>
    <w:tblPr>
      <w:tblStyleRowBandSize w:val="1"/>
      <w:tblStyleColBandSize w:val="1"/>
      <w:tblBorders>
        <w:top w:val="single" w:sz="4" w:space="0" w:color="FFE85C" w:themeColor="accent6" w:themeTint="99"/>
        <w:left w:val="single" w:sz="4" w:space="0" w:color="FFE85C" w:themeColor="accent6" w:themeTint="99"/>
        <w:bottom w:val="single" w:sz="4" w:space="0" w:color="FFE85C" w:themeColor="accent6" w:themeTint="99"/>
        <w:right w:val="single" w:sz="4" w:space="0" w:color="FFE85C" w:themeColor="accent6" w:themeTint="99"/>
        <w:insideH w:val="single" w:sz="4" w:space="0" w:color="FFE85C" w:themeColor="accent6" w:themeTint="99"/>
        <w:insideV w:val="single" w:sz="4" w:space="0" w:color="FFE85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7C8" w:themeFill="accent6" w:themeFillTint="33"/>
      </w:tcPr>
    </w:tblStylePr>
    <w:tblStylePr w:type="band1Horz">
      <w:tblPr/>
      <w:tcPr>
        <w:shd w:val="clear" w:color="auto" w:fill="FFF7C8" w:themeFill="accent6" w:themeFillTint="33"/>
      </w:tcPr>
    </w:tblStylePr>
    <w:tblStylePr w:type="neCell">
      <w:tblPr/>
      <w:tcPr>
        <w:tcBorders>
          <w:bottom w:val="single" w:sz="4" w:space="0" w:color="FFE85C" w:themeColor="accent6" w:themeTint="99"/>
        </w:tcBorders>
      </w:tcPr>
    </w:tblStylePr>
    <w:tblStylePr w:type="nwCell">
      <w:tblPr/>
      <w:tcPr>
        <w:tcBorders>
          <w:bottom w:val="single" w:sz="4" w:space="0" w:color="FFE85C" w:themeColor="accent6" w:themeTint="99"/>
        </w:tcBorders>
      </w:tcPr>
    </w:tblStylePr>
    <w:tblStylePr w:type="seCell">
      <w:tblPr/>
      <w:tcPr>
        <w:tcBorders>
          <w:top w:val="single" w:sz="4" w:space="0" w:color="FFE85C" w:themeColor="accent6" w:themeTint="99"/>
        </w:tcBorders>
      </w:tcPr>
    </w:tblStylePr>
    <w:tblStylePr w:type="swCell">
      <w:tblPr/>
      <w:tcPr>
        <w:tcBorders>
          <w:top w:val="single" w:sz="4" w:space="0" w:color="FFE85C" w:themeColor="accent6" w:themeTint="99"/>
        </w:tcBorders>
      </w:tcPr>
    </w:tblStylePr>
  </w:style>
  <w:style w:type="table" w:styleId="Gittertabel4">
    <w:name w:val="Grid Table 4"/>
    <w:basedOn w:val="Tabel-Normal"/>
    <w:uiPriority w:val="49"/>
    <w:rsid w:val="00BC594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4-farve1">
    <w:name w:val="Grid Table 4 Accent 1"/>
    <w:basedOn w:val="Tabel-Normal"/>
    <w:uiPriority w:val="49"/>
    <w:rsid w:val="00BC594D"/>
    <w:pPr>
      <w:spacing w:line="240" w:lineRule="auto"/>
    </w:pPr>
    <w:tblPr>
      <w:tblStyleRowBandSize w:val="1"/>
      <w:tblStyleColBandSize w:val="1"/>
      <w:tblBorders>
        <w:top w:val="single" w:sz="4" w:space="0" w:color="A6B8BE" w:themeColor="accent1" w:themeTint="99"/>
        <w:left w:val="single" w:sz="4" w:space="0" w:color="A6B8BE" w:themeColor="accent1" w:themeTint="99"/>
        <w:bottom w:val="single" w:sz="4" w:space="0" w:color="A6B8BE" w:themeColor="accent1" w:themeTint="99"/>
        <w:right w:val="single" w:sz="4" w:space="0" w:color="A6B8BE" w:themeColor="accent1" w:themeTint="99"/>
        <w:insideH w:val="single" w:sz="4" w:space="0" w:color="A6B8BE" w:themeColor="accent1" w:themeTint="99"/>
        <w:insideV w:val="single" w:sz="4" w:space="0" w:color="A6B8BE" w:themeColor="accent1" w:themeTint="99"/>
      </w:tblBorders>
    </w:tblPr>
    <w:tblStylePr w:type="firstRow">
      <w:rPr>
        <w:b/>
        <w:bCs/>
        <w:color w:val="FFFFFF" w:themeColor="background1"/>
      </w:rPr>
      <w:tblPr/>
      <w:tcPr>
        <w:tcBorders>
          <w:top w:val="single" w:sz="4" w:space="0" w:color="6B8994" w:themeColor="accent1"/>
          <w:left w:val="single" w:sz="4" w:space="0" w:color="6B8994" w:themeColor="accent1"/>
          <w:bottom w:val="single" w:sz="4" w:space="0" w:color="6B8994" w:themeColor="accent1"/>
          <w:right w:val="single" w:sz="4" w:space="0" w:color="6B8994" w:themeColor="accent1"/>
          <w:insideH w:val="nil"/>
          <w:insideV w:val="nil"/>
        </w:tcBorders>
        <w:shd w:val="clear" w:color="auto" w:fill="6B8994" w:themeFill="accent1"/>
      </w:tcPr>
    </w:tblStylePr>
    <w:tblStylePr w:type="lastRow">
      <w:rPr>
        <w:b/>
        <w:bCs/>
      </w:rPr>
      <w:tblPr/>
      <w:tcPr>
        <w:tcBorders>
          <w:top w:val="double" w:sz="4" w:space="0" w:color="6B8994" w:themeColor="accent1"/>
        </w:tcBorders>
      </w:tcPr>
    </w:tblStylePr>
    <w:tblStylePr w:type="firstCol">
      <w:rPr>
        <w:b/>
        <w:bCs/>
      </w:rPr>
    </w:tblStylePr>
    <w:tblStylePr w:type="lastCol">
      <w:rPr>
        <w:b/>
        <w:bCs/>
      </w:rPr>
    </w:tblStylePr>
    <w:tblStylePr w:type="band1Vert">
      <w:tblPr/>
      <w:tcPr>
        <w:shd w:val="clear" w:color="auto" w:fill="E1E7E9" w:themeFill="accent1" w:themeFillTint="33"/>
      </w:tcPr>
    </w:tblStylePr>
    <w:tblStylePr w:type="band1Horz">
      <w:tblPr/>
      <w:tcPr>
        <w:shd w:val="clear" w:color="auto" w:fill="E1E7E9" w:themeFill="accent1" w:themeFillTint="33"/>
      </w:tcPr>
    </w:tblStylePr>
  </w:style>
  <w:style w:type="table" w:styleId="Gittertabel4-farve2">
    <w:name w:val="Grid Table 4 Accent 2"/>
    <w:basedOn w:val="Tabel-Normal"/>
    <w:uiPriority w:val="49"/>
    <w:rsid w:val="00BC594D"/>
    <w:pPr>
      <w:spacing w:line="240" w:lineRule="auto"/>
    </w:pPr>
    <w:tblPr>
      <w:tblStyleRowBandSize w:val="1"/>
      <w:tblStyleColBandSize w:val="1"/>
      <w:tblBorders>
        <w:top w:val="single" w:sz="4" w:space="0" w:color="15C2FF" w:themeColor="accent2" w:themeTint="99"/>
        <w:left w:val="single" w:sz="4" w:space="0" w:color="15C2FF" w:themeColor="accent2" w:themeTint="99"/>
        <w:bottom w:val="single" w:sz="4" w:space="0" w:color="15C2FF" w:themeColor="accent2" w:themeTint="99"/>
        <w:right w:val="single" w:sz="4" w:space="0" w:color="15C2FF" w:themeColor="accent2" w:themeTint="99"/>
        <w:insideH w:val="single" w:sz="4" w:space="0" w:color="15C2FF" w:themeColor="accent2" w:themeTint="99"/>
        <w:insideV w:val="single" w:sz="4" w:space="0" w:color="15C2FF" w:themeColor="accent2" w:themeTint="99"/>
      </w:tblBorders>
    </w:tblPr>
    <w:tblStylePr w:type="firstRow">
      <w:rPr>
        <w:b/>
        <w:bCs/>
        <w:color w:val="FFFFFF" w:themeColor="background1"/>
      </w:rPr>
      <w:tblPr/>
      <w:tcPr>
        <w:tcBorders>
          <w:top w:val="single" w:sz="4" w:space="0" w:color="005978" w:themeColor="accent2"/>
          <w:left w:val="single" w:sz="4" w:space="0" w:color="005978" w:themeColor="accent2"/>
          <w:bottom w:val="single" w:sz="4" w:space="0" w:color="005978" w:themeColor="accent2"/>
          <w:right w:val="single" w:sz="4" w:space="0" w:color="005978" w:themeColor="accent2"/>
          <w:insideH w:val="nil"/>
          <w:insideV w:val="nil"/>
        </w:tcBorders>
        <w:shd w:val="clear" w:color="auto" w:fill="005978" w:themeFill="accent2"/>
      </w:tcPr>
    </w:tblStylePr>
    <w:tblStylePr w:type="lastRow">
      <w:rPr>
        <w:b/>
        <w:bCs/>
      </w:rPr>
      <w:tblPr/>
      <w:tcPr>
        <w:tcBorders>
          <w:top w:val="double" w:sz="4" w:space="0" w:color="005978" w:themeColor="accent2"/>
        </w:tcBorders>
      </w:tcPr>
    </w:tblStylePr>
    <w:tblStylePr w:type="firstCol">
      <w:rPr>
        <w:b/>
        <w:bCs/>
      </w:rPr>
    </w:tblStylePr>
    <w:tblStylePr w:type="lastCol">
      <w:rPr>
        <w:b/>
        <w:bCs/>
      </w:rPr>
    </w:tblStylePr>
    <w:tblStylePr w:type="band1Vert">
      <w:tblPr/>
      <w:tcPr>
        <w:shd w:val="clear" w:color="auto" w:fill="B1EAFF" w:themeFill="accent2" w:themeFillTint="33"/>
      </w:tcPr>
    </w:tblStylePr>
    <w:tblStylePr w:type="band1Horz">
      <w:tblPr/>
      <w:tcPr>
        <w:shd w:val="clear" w:color="auto" w:fill="B1EAFF" w:themeFill="accent2" w:themeFillTint="33"/>
      </w:tcPr>
    </w:tblStylePr>
  </w:style>
  <w:style w:type="table" w:styleId="Gittertabel4-farve3">
    <w:name w:val="Grid Table 4 Accent 3"/>
    <w:basedOn w:val="Tabel-Normal"/>
    <w:uiPriority w:val="49"/>
    <w:rsid w:val="00BC594D"/>
    <w:pPr>
      <w:spacing w:line="240" w:lineRule="auto"/>
    </w:pPr>
    <w:tblPr>
      <w:tblStyleRowBandSize w:val="1"/>
      <w:tblStyleColBandSize w:val="1"/>
      <w:tblBorders>
        <w:top w:val="single" w:sz="4" w:space="0" w:color="B8E3F6" w:themeColor="accent3" w:themeTint="99"/>
        <w:left w:val="single" w:sz="4" w:space="0" w:color="B8E3F6" w:themeColor="accent3" w:themeTint="99"/>
        <w:bottom w:val="single" w:sz="4" w:space="0" w:color="B8E3F6" w:themeColor="accent3" w:themeTint="99"/>
        <w:right w:val="single" w:sz="4" w:space="0" w:color="B8E3F6" w:themeColor="accent3" w:themeTint="99"/>
        <w:insideH w:val="single" w:sz="4" w:space="0" w:color="B8E3F6" w:themeColor="accent3" w:themeTint="99"/>
        <w:insideV w:val="single" w:sz="4" w:space="0" w:color="B8E3F6" w:themeColor="accent3" w:themeTint="99"/>
      </w:tblBorders>
    </w:tblPr>
    <w:tblStylePr w:type="firstRow">
      <w:rPr>
        <w:b/>
        <w:bCs/>
        <w:color w:val="FFFFFF" w:themeColor="background1"/>
      </w:rPr>
      <w:tblPr/>
      <w:tcPr>
        <w:tcBorders>
          <w:top w:val="single" w:sz="4" w:space="0" w:color="8AD2F1" w:themeColor="accent3"/>
          <w:left w:val="single" w:sz="4" w:space="0" w:color="8AD2F1" w:themeColor="accent3"/>
          <w:bottom w:val="single" w:sz="4" w:space="0" w:color="8AD2F1" w:themeColor="accent3"/>
          <w:right w:val="single" w:sz="4" w:space="0" w:color="8AD2F1" w:themeColor="accent3"/>
          <w:insideH w:val="nil"/>
          <w:insideV w:val="nil"/>
        </w:tcBorders>
        <w:shd w:val="clear" w:color="auto" w:fill="8AD2F1" w:themeFill="accent3"/>
      </w:tcPr>
    </w:tblStylePr>
    <w:tblStylePr w:type="lastRow">
      <w:rPr>
        <w:b/>
        <w:bCs/>
      </w:rPr>
      <w:tblPr/>
      <w:tcPr>
        <w:tcBorders>
          <w:top w:val="double" w:sz="4" w:space="0" w:color="8AD2F1" w:themeColor="accent3"/>
        </w:tcBorders>
      </w:tcPr>
    </w:tblStylePr>
    <w:tblStylePr w:type="firstCol">
      <w:rPr>
        <w:b/>
        <w:bCs/>
      </w:rPr>
    </w:tblStylePr>
    <w:tblStylePr w:type="lastCol">
      <w:rPr>
        <w:b/>
        <w:bCs/>
      </w:rPr>
    </w:tblStylePr>
    <w:tblStylePr w:type="band1Vert">
      <w:tblPr/>
      <w:tcPr>
        <w:shd w:val="clear" w:color="auto" w:fill="E7F5FC" w:themeFill="accent3" w:themeFillTint="33"/>
      </w:tcPr>
    </w:tblStylePr>
    <w:tblStylePr w:type="band1Horz">
      <w:tblPr/>
      <w:tcPr>
        <w:shd w:val="clear" w:color="auto" w:fill="E7F5FC" w:themeFill="accent3" w:themeFillTint="33"/>
      </w:tcPr>
    </w:tblStylePr>
  </w:style>
  <w:style w:type="table" w:styleId="Gittertabel4-farve4">
    <w:name w:val="Grid Table 4 Accent 4"/>
    <w:basedOn w:val="Tabel-Normal"/>
    <w:uiPriority w:val="49"/>
    <w:rsid w:val="00BC594D"/>
    <w:pPr>
      <w:spacing w:line="240" w:lineRule="auto"/>
    </w:pPr>
    <w:tblPr>
      <w:tblStyleRowBandSize w:val="1"/>
      <w:tblStyleColBandSize w:val="1"/>
      <w:tblBorders>
        <w:top w:val="single" w:sz="4" w:space="0" w:color="FFCAA1" w:themeColor="accent4" w:themeTint="99"/>
        <w:left w:val="single" w:sz="4" w:space="0" w:color="FFCAA1" w:themeColor="accent4" w:themeTint="99"/>
        <w:bottom w:val="single" w:sz="4" w:space="0" w:color="FFCAA1" w:themeColor="accent4" w:themeTint="99"/>
        <w:right w:val="single" w:sz="4" w:space="0" w:color="FFCAA1" w:themeColor="accent4" w:themeTint="99"/>
        <w:insideH w:val="single" w:sz="4" w:space="0" w:color="FFCAA1" w:themeColor="accent4" w:themeTint="99"/>
        <w:insideV w:val="single" w:sz="4" w:space="0" w:color="FFCAA1" w:themeColor="accent4" w:themeTint="99"/>
      </w:tblBorders>
    </w:tblPr>
    <w:tblStylePr w:type="firstRow">
      <w:rPr>
        <w:b/>
        <w:bCs/>
        <w:color w:val="FFFFFF" w:themeColor="background1"/>
      </w:rPr>
      <w:tblPr/>
      <w:tcPr>
        <w:tcBorders>
          <w:top w:val="single" w:sz="4" w:space="0" w:color="FFA763" w:themeColor="accent4"/>
          <w:left w:val="single" w:sz="4" w:space="0" w:color="FFA763" w:themeColor="accent4"/>
          <w:bottom w:val="single" w:sz="4" w:space="0" w:color="FFA763" w:themeColor="accent4"/>
          <w:right w:val="single" w:sz="4" w:space="0" w:color="FFA763" w:themeColor="accent4"/>
          <w:insideH w:val="nil"/>
          <w:insideV w:val="nil"/>
        </w:tcBorders>
        <w:shd w:val="clear" w:color="auto" w:fill="FFA763" w:themeFill="accent4"/>
      </w:tcPr>
    </w:tblStylePr>
    <w:tblStylePr w:type="lastRow">
      <w:rPr>
        <w:b/>
        <w:bCs/>
      </w:rPr>
      <w:tblPr/>
      <w:tcPr>
        <w:tcBorders>
          <w:top w:val="double" w:sz="4" w:space="0" w:color="FFA763" w:themeColor="accent4"/>
        </w:tcBorders>
      </w:tcPr>
    </w:tblStylePr>
    <w:tblStylePr w:type="firstCol">
      <w:rPr>
        <w:b/>
        <w:bCs/>
      </w:rPr>
    </w:tblStylePr>
    <w:tblStylePr w:type="lastCol">
      <w:rPr>
        <w:b/>
        <w:bCs/>
      </w:rPr>
    </w:tblStylePr>
    <w:tblStylePr w:type="band1Vert">
      <w:tblPr/>
      <w:tcPr>
        <w:shd w:val="clear" w:color="auto" w:fill="FFEDDF" w:themeFill="accent4" w:themeFillTint="33"/>
      </w:tcPr>
    </w:tblStylePr>
    <w:tblStylePr w:type="band1Horz">
      <w:tblPr/>
      <w:tcPr>
        <w:shd w:val="clear" w:color="auto" w:fill="FFEDDF" w:themeFill="accent4" w:themeFillTint="33"/>
      </w:tcPr>
    </w:tblStylePr>
  </w:style>
  <w:style w:type="table" w:styleId="Gittertabel4-farve5">
    <w:name w:val="Grid Table 4 Accent 5"/>
    <w:basedOn w:val="Tabel-Normal"/>
    <w:uiPriority w:val="49"/>
    <w:rsid w:val="00BC594D"/>
    <w:pPr>
      <w:spacing w:line="240" w:lineRule="auto"/>
    </w:pPr>
    <w:tblPr>
      <w:tblStyleRowBandSize w:val="1"/>
      <w:tblStyleColBandSize w:val="1"/>
      <w:tblBorders>
        <w:top w:val="single" w:sz="4" w:space="0" w:color="95E6BC" w:themeColor="accent5" w:themeTint="99"/>
        <w:left w:val="single" w:sz="4" w:space="0" w:color="95E6BC" w:themeColor="accent5" w:themeTint="99"/>
        <w:bottom w:val="single" w:sz="4" w:space="0" w:color="95E6BC" w:themeColor="accent5" w:themeTint="99"/>
        <w:right w:val="single" w:sz="4" w:space="0" w:color="95E6BC" w:themeColor="accent5" w:themeTint="99"/>
        <w:insideH w:val="single" w:sz="4" w:space="0" w:color="95E6BC" w:themeColor="accent5" w:themeTint="99"/>
        <w:insideV w:val="single" w:sz="4" w:space="0" w:color="95E6BC" w:themeColor="accent5" w:themeTint="99"/>
      </w:tblBorders>
    </w:tblPr>
    <w:tblStylePr w:type="firstRow">
      <w:rPr>
        <w:b/>
        <w:bCs/>
        <w:color w:val="FFFFFF" w:themeColor="background1"/>
      </w:rPr>
      <w:tblPr/>
      <w:tcPr>
        <w:tcBorders>
          <w:top w:val="single" w:sz="4" w:space="0" w:color="50D691" w:themeColor="accent5"/>
          <w:left w:val="single" w:sz="4" w:space="0" w:color="50D691" w:themeColor="accent5"/>
          <w:bottom w:val="single" w:sz="4" w:space="0" w:color="50D691" w:themeColor="accent5"/>
          <w:right w:val="single" w:sz="4" w:space="0" w:color="50D691" w:themeColor="accent5"/>
          <w:insideH w:val="nil"/>
          <w:insideV w:val="nil"/>
        </w:tcBorders>
        <w:shd w:val="clear" w:color="auto" w:fill="50D691" w:themeFill="accent5"/>
      </w:tcPr>
    </w:tblStylePr>
    <w:tblStylePr w:type="lastRow">
      <w:rPr>
        <w:b/>
        <w:bCs/>
      </w:rPr>
      <w:tblPr/>
      <w:tcPr>
        <w:tcBorders>
          <w:top w:val="double" w:sz="4" w:space="0" w:color="50D691" w:themeColor="accent5"/>
        </w:tcBorders>
      </w:tcPr>
    </w:tblStylePr>
    <w:tblStylePr w:type="firstCol">
      <w:rPr>
        <w:b/>
        <w:bCs/>
      </w:rPr>
    </w:tblStylePr>
    <w:tblStylePr w:type="lastCol">
      <w:rPr>
        <w:b/>
        <w:bCs/>
      </w:rPr>
    </w:tblStylePr>
    <w:tblStylePr w:type="band1Vert">
      <w:tblPr/>
      <w:tcPr>
        <w:shd w:val="clear" w:color="auto" w:fill="DBF6E8" w:themeFill="accent5" w:themeFillTint="33"/>
      </w:tcPr>
    </w:tblStylePr>
    <w:tblStylePr w:type="band1Horz">
      <w:tblPr/>
      <w:tcPr>
        <w:shd w:val="clear" w:color="auto" w:fill="DBF6E8" w:themeFill="accent5" w:themeFillTint="33"/>
      </w:tcPr>
    </w:tblStylePr>
  </w:style>
  <w:style w:type="table" w:styleId="Gittertabel4-farve6">
    <w:name w:val="Grid Table 4 Accent 6"/>
    <w:basedOn w:val="Tabel-Normal"/>
    <w:uiPriority w:val="49"/>
    <w:rsid w:val="00BC594D"/>
    <w:pPr>
      <w:spacing w:line="240" w:lineRule="auto"/>
    </w:pPr>
    <w:tblPr>
      <w:tblStyleRowBandSize w:val="1"/>
      <w:tblStyleColBandSize w:val="1"/>
      <w:tblBorders>
        <w:top w:val="single" w:sz="4" w:space="0" w:color="FFE85C" w:themeColor="accent6" w:themeTint="99"/>
        <w:left w:val="single" w:sz="4" w:space="0" w:color="FFE85C" w:themeColor="accent6" w:themeTint="99"/>
        <w:bottom w:val="single" w:sz="4" w:space="0" w:color="FFE85C" w:themeColor="accent6" w:themeTint="99"/>
        <w:right w:val="single" w:sz="4" w:space="0" w:color="FFE85C" w:themeColor="accent6" w:themeTint="99"/>
        <w:insideH w:val="single" w:sz="4" w:space="0" w:color="FFE85C" w:themeColor="accent6" w:themeTint="99"/>
        <w:insideV w:val="single" w:sz="4" w:space="0" w:color="FFE85C" w:themeColor="accent6" w:themeTint="99"/>
      </w:tblBorders>
    </w:tblPr>
    <w:tblStylePr w:type="firstRow">
      <w:rPr>
        <w:b/>
        <w:bCs/>
        <w:color w:val="FFFFFF" w:themeColor="background1"/>
      </w:rPr>
      <w:tblPr/>
      <w:tcPr>
        <w:tcBorders>
          <w:top w:val="single" w:sz="4" w:space="0" w:color="EFCF00" w:themeColor="accent6"/>
          <w:left w:val="single" w:sz="4" w:space="0" w:color="EFCF00" w:themeColor="accent6"/>
          <w:bottom w:val="single" w:sz="4" w:space="0" w:color="EFCF00" w:themeColor="accent6"/>
          <w:right w:val="single" w:sz="4" w:space="0" w:color="EFCF00" w:themeColor="accent6"/>
          <w:insideH w:val="nil"/>
          <w:insideV w:val="nil"/>
        </w:tcBorders>
        <w:shd w:val="clear" w:color="auto" w:fill="EFCF00" w:themeFill="accent6"/>
      </w:tcPr>
    </w:tblStylePr>
    <w:tblStylePr w:type="lastRow">
      <w:rPr>
        <w:b/>
        <w:bCs/>
      </w:rPr>
      <w:tblPr/>
      <w:tcPr>
        <w:tcBorders>
          <w:top w:val="double" w:sz="4" w:space="0" w:color="EFCF00" w:themeColor="accent6"/>
        </w:tcBorders>
      </w:tcPr>
    </w:tblStylePr>
    <w:tblStylePr w:type="firstCol">
      <w:rPr>
        <w:b/>
        <w:bCs/>
      </w:rPr>
    </w:tblStylePr>
    <w:tblStylePr w:type="lastCol">
      <w:rPr>
        <w:b/>
        <w:bCs/>
      </w:rPr>
    </w:tblStylePr>
    <w:tblStylePr w:type="band1Vert">
      <w:tblPr/>
      <w:tcPr>
        <w:shd w:val="clear" w:color="auto" w:fill="FFF7C8" w:themeFill="accent6" w:themeFillTint="33"/>
      </w:tcPr>
    </w:tblStylePr>
    <w:tblStylePr w:type="band1Horz">
      <w:tblPr/>
      <w:tcPr>
        <w:shd w:val="clear" w:color="auto" w:fill="FFF7C8" w:themeFill="accent6" w:themeFillTint="33"/>
      </w:tcPr>
    </w:tblStylePr>
  </w:style>
  <w:style w:type="table" w:styleId="Gittertabel5-mrk">
    <w:name w:val="Grid Table 5 Dark"/>
    <w:basedOn w:val="Tabel-Normal"/>
    <w:uiPriority w:val="50"/>
    <w:rsid w:val="00BC594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tabel5-mrk-farve1">
    <w:name w:val="Grid Table 5 Dark Accent 1"/>
    <w:basedOn w:val="Tabel-Normal"/>
    <w:uiPriority w:val="50"/>
    <w:rsid w:val="00BC594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7E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B899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B899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B899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B8994" w:themeFill="accent1"/>
      </w:tcPr>
    </w:tblStylePr>
    <w:tblStylePr w:type="band1Vert">
      <w:tblPr/>
      <w:tcPr>
        <w:shd w:val="clear" w:color="auto" w:fill="C3CFD4" w:themeFill="accent1" w:themeFillTint="66"/>
      </w:tcPr>
    </w:tblStylePr>
    <w:tblStylePr w:type="band1Horz">
      <w:tblPr/>
      <w:tcPr>
        <w:shd w:val="clear" w:color="auto" w:fill="C3CFD4" w:themeFill="accent1" w:themeFillTint="66"/>
      </w:tcPr>
    </w:tblStylePr>
  </w:style>
  <w:style w:type="table" w:styleId="Gittertabel5-mrk-farve2">
    <w:name w:val="Grid Table 5 Dark Accent 2"/>
    <w:basedOn w:val="Tabel-Normal"/>
    <w:uiPriority w:val="50"/>
    <w:rsid w:val="00BC594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EA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97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97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97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978" w:themeFill="accent2"/>
      </w:tcPr>
    </w:tblStylePr>
    <w:tblStylePr w:type="band1Vert">
      <w:tblPr/>
      <w:tcPr>
        <w:shd w:val="clear" w:color="auto" w:fill="63D6FF" w:themeFill="accent2" w:themeFillTint="66"/>
      </w:tcPr>
    </w:tblStylePr>
    <w:tblStylePr w:type="band1Horz">
      <w:tblPr/>
      <w:tcPr>
        <w:shd w:val="clear" w:color="auto" w:fill="63D6FF" w:themeFill="accent2" w:themeFillTint="66"/>
      </w:tcPr>
    </w:tblStylePr>
  </w:style>
  <w:style w:type="table" w:styleId="Gittertabel5-mrk-farve3">
    <w:name w:val="Grid Table 5 Dark Accent 3"/>
    <w:basedOn w:val="Tabel-Normal"/>
    <w:uiPriority w:val="50"/>
    <w:rsid w:val="00BC594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F5F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AD2F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AD2F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AD2F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AD2F1" w:themeFill="accent3"/>
      </w:tcPr>
    </w:tblStylePr>
    <w:tblStylePr w:type="band1Vert">
      <w:tblPr/>
      <w:tcPr>
        <w:shd w:val="clear" w:color="auto" w:fill="CFECF9" w:themeFill="accent3" w:themeFillTint="66"/>
      </w:tcPr>
    </w:tblStylePr>
    <w:tblStylePr w:type="band1Horz">
      <w:tblPr/>
      <w:tcPr>
        <w:shd w:val="clear" w:color="auto" w:fill="CFECF9" w:themeFill="accent3" w:themeFillTint="66"/>
      </w:tcPr>
    </w:tblStylePr>
  </w:style>
  <w:style w:type="table" w:styleId="Gittertabel5-mrk-farve4">
    <w:name w:val="Grid Table 5 Dark Accent 4"/>
    <w:basedOn w:val="Tabel-Normal"/>
    <w:uiPriority w:val="50"/>
    <w:rsid w:val="00BC594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DD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A763"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A763"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A763"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A763" w:themeFill="accent4"/>
      </w:tcPr>
    </w:tblStylePr>
    <w:tblStylePr w:type="band1Vert">
      <w:tblPr/>
      <w:tcPr>
        <w:shd w:val="clear" w:color="auto" w:fill="FFDBC0" w:themeFill="accent4" w:themeFillTint="66"/>
      </w:tcPr>
    </w:tblStylePr>
    <w:tblStylePr w:type="band1Horz">
      <w:tblPr/>
      <w:tcPr>
        <w:shd w:val="clear" w:color="auto" w:fill="FFDBC0" w:themeFill="accent4" w:themeFillTint="66"/>
      </w:tcPr>
    </w:tblStylePr>
  </w:style>
  <w:style w:type="table" w:styleId="Gittertabel5-mrk-farve5">
    <w:name w:val="Grid Table 5 Dark Accent 5"/>
    <w:basedOn w:val="Tabel-Normal"/>
    <w:uiPriority w:val="50"/>
    <w:rsid w:val="00BC594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F6E8"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D69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D69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D69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D691" w:themeFill="accent5"/>
      </w:tcPr>
    </w:tblStylePr>
    <w:tblStylePr w:type="band1Vert">
      <w:tblPr/>
      <w:tcPr>
        <w:shd w:val="clear" w:color="auto" w:fill="B8EED2" w:themeFill="accent5" w:themeFillTint="66"/>
      </w:tcPr>
    </w:tblStylePr>
    <w:tblStylePr w:type="band1Horz">
      <w:tblPr/>
      <w:tcPr>
        <w:shd w:val="clear" w:color="auto" w:fill="B8EED2" w:themeFill="accent5" w:themeFillTint="66"/>
      </w:tcPr>
    </w:tblStylePr>
  </w:style>
  <w:style w:type="table" w:styleId="Gittertabel5-mrk-farve6">
    <w:name w:val="Grid Table 5 Dark Accent 6"/>
    <w:basedOn w:val="Tabel-Normal"/>
    <w:uiPriority w:val="50"/>
    <w:rsid w:val="00BC594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7C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CF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CF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CF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CF00" w:themeFill="accent6"/>
      </w:tcPr>
    </w:tblStylePr>
    <w:tblStylePr w:type="band1Vert">
      <w:tblPr/>
      <w:tcPr>
        <w:shd w:val="clear" w:color="auto" w:fill="FFF092" w:themeFill="accent6" w:themeFillTint="66"/>
      </w:tcPr>
    </w:tblStylePr>
    <w:tblStylePr w:type="band1Horz">
      <w:tblPr/>
      <w:tcPr>
        <w:shd w:val="clear" w:color="auto" w:fill="FFF092" w:themeFill="accent6" w:themeFillTint="66"/>
      </w:tcPr>
    </w:tblStylePr>
  </w:style>
  <w:style w:type="table" w:styleId="Gittertabel6-farverig">
    <w:name w:val="Grid Table 6 Colorful"/>
    <w:basedOn w:val="Tabel-Normal"/>
    <w:uiPriority w:val="51"/>
    <w:rsid w:val="00BC594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tabel6-farverig-farve1">
    <w:name w:val="Grid Table 6 Colorful Accent 1"/>
    <w:basedOn w:val="Tabel-Normal"/>
    <w:uiPriority w:val="51"/>
    <w:rsid w:val="00BC594D"/>
    <w:pPr>
      <w:spacing w:line="240" w:lineRule="auto"/>
    </w:pPr>
    <w:rPr>
      <w:color w:val="50666E" w:themeColor="accent1" w:themeShade="BF"/>
    </w:rPr>
    <w:tblPr>
      <w:tblStyleRowBandSize w:val="1"/>
      <w:tblStyleColBandSize w:val="1"/>
      <w:tblBorders>
        <w:top w:val="single" w:sz="4" w:space="0" w:color="A6B8BE" w:themeColor="accent1" w:themeTint="99"/>
        <w:left w:val="single" w:sz="4" w:space="0" w:color="A6B8BE" w:themeColor="accent1" w:themeTint="99"/>
        <w:bottom w:val="single" w:sz="4" w:space="0" w:color="A6B8BE" w:themeColor="accent1" w:themeTint="99"/>
        <w:right w:val="single" w:sz="4" w:space="0" w:color="A6B8BE" w:themeColor="accent1" w:themeTint="99"/>
        <w:insideH w:val="single" w:sz="4" w:space="0" w:color="A6B8BE" w:themeColor="accent1" w:themeTint="99"/>
        <w:insideV w:val="single" w:sz="4" w:space="0" w:color="A6B8BE" w:themeColor="accent1" w:themeTint="99"/>
      </w:tblBorders>
    </w:tblPr>
    <w:tblStylePr w:type="firstRow">
      <w:rPr>
        <w:b/>
        <w:bCs/>
      </w:rPr>
      <w:tblPr/>
      <w:tcPr>
        <w:tcBorders>
          <w:bottom w:val="single" w:sz="12" w:space="0" w:color="A6B8BE" w:themeColor="accent1" w:themeTint="99"/>
        </w:tcBorders>
      </w:tcPr>
    </w:tblStylePr>
    <w:tblStylePr w:type="lastRow">
      <w:rPr>
        <w:b/>
        <w:bCs/>
      </w:rPr>
      <w:tblPr/>
      <w:tcPr>
        <w:tcBorders>
          <w:top w:val="double" w:sz="4" w:space="0" w:color="A6B8BE" w:themeColor="accent1" w:themeTint="99"/>
        </w:tcBorders>
      </w:tcPr>
    </w:tblStylePr>
    <w:tblStylePr w:type="firstCol">
      <w:rPr>
        <w:b/>
        <w:bCs/>
      </w:rPr>
    </w:tblStylePr>
    <w:tblStylePr w:type="lastCol">
      <w:rPr>
        <w:b/>
        <w:bCs/>
      </w:rPr>
    </w:tblStylePr>
    <w:tblStylePr w:type="band1Vert">
      <w:tblPr/>
      <w:tcPr>
        <w:shd w:val="clear" w:color="auto" w:fill="E1E7E9" w:themeFill="accent1" w:themeFillTint="33"/>
      </w:tcPr>
    </w:tblStylePr>
    <w:tblStylePr w:type="band1Horz">
      <w:tblPr/>
      <w:tcPr>
        <w:shd w:val="clear" w:color="auto" w:fill="E1E7E9" w:themeFill="accent1" w:themeFillTint="33"/>
      </w:tcPr>
    </w:tblStylePr>
  </w:style>
  <w:style w:type="table" w:styleId="Gittertabel6-farverig-farve2">
    <w:name w:val="Grid Table 6 Colorful Accent 2"/>
    <w:basedOn w:val="Tabel-Normal"/>
    <w:uiPriority w:val="51"/>
    <w:rsid w:val="00BC594D"/>
    <w:pPr>
      <w:spacing w:line="240" w:lineRule="auto"/>
    </w:pPr>
    <w:rPr>
      <w:color w:val="004259" w:themeColor="accent2" w:themeShade="BF"/>
    </w:rPr>
    <w:tblPr>
      <w:tblStyleRowBandSize w:val="1"/>
      <w:tblStyleColBandSize w:val="1"/>
      <w:tblBorders>
        <w:top w:val="single" w:sz="4" w:space="0" w:color="15C2FF" w:themeColor="accent2" w:themeTint="99"/>
        <w:left w:val="single" w:sz="4" w:space="0" w:color="15C2FF" w:themeColor="accent2" w:themeTint="99"/>
        <w:bottom w:val="single" w:sz="4" w:space="0" w:color="15C2FF" w:themeColor="accent2" w:themeTint="99"/>
        <w:right w:val="single" w:sz="4" w:space="0" w:color="15C2FF" w:themeColor="accent2" w:themeTint="99"/>
        <w:insideH w:val="single" w:sz="4" w:space="0" w:color="15C2FF" w:themeColor="accent2" w:themeTint="99"/>
        <w:insideV w:val="single" w:sz="4" w:space="0" w:color="15C2FF" w:themeColor="accent2" w:themeTint="99"/>
      </w:tblBorders>
    </w:tblPr>
    <w:tblStylePr w:type="firstRow">
      <w:rPr>
        <w:b/>
        <w:bCs/>
      </w:rPr>
      <w:tblPr/>
      <w:tcPr>
        <w:tcBorders>
          <w:bottom w:val="single" w:sz="12" w:space="0" w:color="15C2FF" w:themeColor="accent2" w:themeTint="99"/>
        </w:tcBorders>
      </w:tcPr>
    </w:tblStylePr>
    <w:tblStylePr w:type="lastRow">
      <w:rPr>
        <w:b/>
        <w:bCs/>
      </w:rPr>
      <w:tblPr/>
      <w:tcPr>
        <w:tcBorders>
          <w:top w:val="double" w:sz="4" w:space="0" w:color="15C2FF" w:themeColor="accent2" w:themeTint="99"/>
        </w:tcBorders>
      </w:tcPr>
    </w:tblStylePr>
    <w:tblStylePr w:type="firstCol">
      <w:rPr>
        <w:b/>
        <w:bCs/>
      </w:rPr>
    </w:tblStylePr>
    <w:tblStylePr w:type="lastCol">
      <w:rPr>
        <w:b/>
        <w:bCs/>
      </w:rPr>
    </w:tblStylePr>
    <w:tblStylePr w:type="band1Vert">
      <w:tblPr/>
      <w:tcPr>
        <w:shd w:val="clear" w:color="auto" w:fill="B1EAFF" w:themeFill="accent2" w:themeFillTint="33"/>
      </w:tcPr>
    </w:tblStylePr>
    <w:tblStylePr w:type="band1Horz">
      <w:tblPr/>
      <w:tcPr>
        <w:shd w:val="clear" w:color="auto" w:fill="B1EAFF" w:themeFill="accent2" w:themeFillTint="33"/>
      </w:tcPr>
    </w:tblStylePr>
  </w:style>
  <w:style w:type="table" w:styleId="Gittertabel6-farverig-farve3">
    <w:name w:val="Grid Table 6 Colorful Accent 3"/>
    <w:basedOn w:val="Tabel-Normal"/>
    <w:uiPriority w:val="51"/>
    <w:rsid w:val="00BC594D"/>
    <w:pPr>
      <w:spacing w:line="240" w:lineRule="auto"/>
    </w:pPr>
    <w:rPr>
      <w:color w:val="34B1E6" w:themeColor="accent3" w:themeShade="BF"/>
    </w:rPr>
    <w:tblPr>
      <w:tblStyleRowBandSize w:val="1"/>
      <w:tblStyleColBandSize w:val="1"/>
      <w:tblBorders>
        <w:top w:val="single" w:sz="4" w:space="0" w:color="B8E3F6" w:themeColor="accent3" w:themeTint="99"/>
        <w:left w:val="single" w:sz="4" w:space="0" w:color="B8E3F6" w:themeColor="accent3" w:themeTint="99"/>
        <w:bottom w:val="single" w:sz="4" w:space="0" w:color="B8E3F6" w:themeColor="accent3" w:themeTint="99"/>
        <w:right w:val="single" w:sz="4" w:space="0" w:color="B8E3F6" w:themeColor="accent3" w:themeTint="99"/>
        <w:insideH w:val="single" w:sz="4" w:space="0" w:color="B8E3F6" w:themeColor="accent3" w:themeTint="99"/>
        <w:insideV w:val="single" w:sz="4" w:space="0" w:color="B8E3F6" w:themeColor="accent3" w:themeTint="99"/>
      </w:tblBorders>
    </w:tblPr>
    <w:tblStylePr w:type="firstRow">
      <w:rPr>
        <w:b/>
        <w:bCs/>
      </w:rPr>
      <w:tblPr/>
      <w:tcPr>
        <w:tcBorders>
          <w:bottom w:val="single" w:sz="12" w:space="0" w:color="B8E3F6" w:themeColor="accent3" w:themeTint="99"/>
        </w:tcBorders>
      </w:tcPr>
    </w:tblStylePr>
    <w:tblStylePr w:type="lastRow">
      <w:rPr>
        <w:b/>
        <w:bCs/>
      </w:rPr>
      <w:tblPr/>
      <w:tcPr>
        <w:tcBorders>
          <w:top w:val="double" w:sz="4" w:space="0" w:color="B8E3F6" w:themeColor="accent3" w:themeTint="99"/>
        </w:tcBorders>
      </w:tcPr>
    </w:tblStylePr>
    <w:tblStylePr w:type="firstCol">
      <w:rPr>
        <w:b/>
        <w:bCs/>
      </w:rPr>
    </w:tblStylePr>
    <w:tblStylePr w:type="lastCol">
      <w:rPr>
        <w:b/>
        <w:bCs/>
      </w:rPr>
    </w:tblStylePr>
    <w:tblStylePr w:type="band1Vert">
      <w:tblPr/>
      <w:tcPr>
        <w:shd w:val="clear" w:color="auto" w:fill="E7F5FC" w:themeFill="accent3" w:themeFillTint="33"/>
      </w:tcPr>
    </w:tblStylePr>
    <w:tblStylePr w:type="band1Horz">
      <w:tblPr/>
      <w:tcPr>
        <w:shd w:val="clear" w:color="auto" w:fill="E7F5FC" w:themeFill="accent3" w:themeFillTint="33"/>
      </w:tcPr>
    </w:tblStylePr>
  </w:style>
  <w:style w:type="table" w:styleId="Gittertabel6-farverig-farve4">
    <w:name w:val="Grid Table 6 Colorful Accent 4"/>
    <w:basedOn w:val="Tabel-Normal"/>
    <w:uiPriority w:val="51"/>
    <w:rsid w:val="00BC594D"/>
    <w:pPr>
      <w:spacing w:line="240" w:lineRule="auto"/>
    </w:pPr>
    <w:rPr>
      <w:color w:val="FF740A" w:themeColor="accent4" w:themeShade="BF"/>
    </w:rPr>
    <w:tblPr>
      <w:tblStyleRowBandSize w:val="1"/>
      <w:tblStyleColBandSize w:val="1"/>
      <w:tblBorders>
        <w:top w:val="single" w:sz="4" w:space="0" w:color="FFCAA1" w:themeColor="accent4" w:themeTint="99"/>
        <w:left w:val="single" w:sz="4" w:space="0" w:color="FFCAA1" w:themeColor="accent4" w:themeTint="99"/>
        <w:bottom w:val="single" w:sz="4" w:space="0" w:color="FFCAA1" w:themeColor="accent4" w:themeTint="99"/>
        <w:right w:val="single" w:sz="4" w:space="0" w:color="FFCAA1" w:themeColor="accent4" w:themeTint="99"/>
        <w:insideH w:val="single" w:sz="4" w:space="0" w:color="FFCAA1" w:themeColor="accent4" w:themeTint="99"/>
        <w:insideV w:val="single" w:sz="4" w:space="0" w:color="FFCAA1" w:themeColor="accent4" w:themeTint="99"/>
      </w:tblBorders>
    </w:tblPr>
    <w:tblStylePr w:type="firstRow">
      <w:rPr>
        <w:b/>
        <w:bCs/>
      </w:rPr>
      <w:tblPr/>
      <w:tcPr>
        <w:tcBorders>
          <w:bottom w:val="single" w:sz="12" w:space="0" w:color="FFCAA1" w:themeColor="accent4" w:themeTint="99"/>
        </w:tcBorders>
      </w:tcPr>
    </w:tblStylePr>
    <w:tblStylePr w:type="lastRow">
      <w:rPr>
        <w:b/>
        <w:bCs/>
      </w:rPr>
      <w:tblPr/>
      <w:tcPr>
        <w:tcBorders>
          <w:top w:val="double" w:sz="4" w:space="0" w:color="FFCAA1" w:themeColor="accent4" w:themeTint="99"/>
        </w:tcBorders>
      </w:tcPr>
    </w:tblStylePr>
    <w:tblStylePr w:type="firstCol">
      <w:rPr>
        <w:b/>
        <w:bCs/>
      </w:rPr>
    </w:tblStylePr>
    <w:tblStylePr w:type="lastCol">
      <w:rPr>
        <w:b/>
        <w:bCs/>
      </w:rPr>
    </w:tblStylePr>
    <w:tblStylePr w:type="band1Vert">
      <w:tblPr/>
      <w:tcPr>
        <w:shd w:val="clear" w:color="auto" w:fill="FFEDDF" w:themeFill="accent4" w:themeFillTint="33"/>
      </w:tcPr>
    </w:tblStylePr>
    <w:tblStylePr w:type="band1Horz">
      <w:tblPr/>
      <w:tcPr>
        <w:shd w:val="clear" w:color="auto" w:fill="FFEDDF" w:themeFill="accent4" w:themeFillTint="33"/>
      </w:tcPr>
    </w:tblStylePr>
  </w:style>
  <w:style w:type="table" w:styleId="Gittertabel6-farverig-farve5">
    <w:name w:val="Grid Table 6 Colorful Accent 5"/>
    <w:basedOn w:val="Tabel-Normal"/>
    <w:uiPriority w:val="51"/>
    <w:rsid w:val="00BC594D"/>
    <w:pPr>
      <w:spacing w:line="240" w:lineRule="auto"/>
    </w:pPr>
    <w:rPr>
      <w:color w:val="29B26B" w:themeColor="accent5" w:themeShade="BF"/>
    </w:rPr>
    <w:tblPr>
      <w:tblStyleRowBandSize w:val="1"/>
      <w:tblStyleColBandSize w:val="1"/>
      <w:tblBorders>
        <w:top w:val="single" w:sz="4" w:space="0" w:color="95E6BC" w:themeColor="accent5" w:themeTint="99"/>
        <w:left w:val="single" w:sz="4" w:space="0" w:color="95E6BC" w:themeColor="accent5" w:themeTint="99"/>
        <w:bottom w:val="single" w:sz="4" w:space="0" w:color="95E6BC" w:themeColor="accent5" w:themeTint="99"/>
        <w:right w:val="single" w:sz="4" w:space="0" w:color="95E6BC" w:themeColor="accent5" w:themeTint="99"/>
        <w:insideH w:val="single" w:sz="4" w:space="0" w:color="95E6BC" w:themeColor="accent5" w:themeTint="99"/>
        <w:insideV w:val="single" w:sz="4" w:space="0" w:color="95E6BC" w:themeColor="accent5" w:themeTint="99"/>
      </w:tblBorders>
    </w:tblPr>
    <w:tblStylePr w:type="firstRow">
      <w:rPr>
        <w:b/>
        <w:bCs/>
      </w:rPr>
      <w:tblPr/>
      <w:tcPr>
        <w:tcBorders>
          <w:bottom w:val="single" w:sz="12" w:space="0" w:color="95E6BC" w:themeColor="accent5" w:themeTint="99"/>
        </w:tcBorders>
      </w:tcPr>
    </w:tblStylePr>
    <w:tblStylePr w:type="lastRow">
      <w:rPr>
        <w:b/>
        <w:bCs/>
      </w:rPr>
      <w:tblPr/>
      <w:tcPr>
        <w:tcBorders>
          <w:top w:val="double" w:sz="4" w:space="0" w:color="95E6BC" w:themeColor="accent5" w:themeTint="99"/>
        </w:tcBorders>
      </w:tcPr>
    </w:tblStylePr>
    <w:tblStylePr w:type="firstCol">
      <w:rPr>
        <w:b/>
        <w:bCs/>
      </w:rPr>
    </w:tblStylePr>
    <w:tblStylePr w:type="lastCol">
      <w:rPr>
        <w:b/>
        <w:bCs/>
      </w:rPr>
    </w:tblStylePr>
    <w:tblStylePr w:type="band1Vert">
      <w:tblPr/>
      <w:tcPr>
        <w:shd w:val="clear" w:color="auto" w:fill="DBF6E8" w:themeFill="accent5" w:themeFillTint="33"/>
      </w:tcPr>
    </w:tblStylePr>
    <w:tblStylePr w:type="band1Horz">
      <w:tblPr/>
      <w:tcPr>
        <w:shd w:val="clear" w:color="auto" w:fill="DBF6E8" w:themeFill="accent5" w:themeFillTint="33"/>
      </w:tcPr>
    </w:tblStylePr>
  </w:style>
  <w:style w:type="table" w:styleId="Gittertabel6-farverig-farve6">
    <w:name w:val="Grid Table 6 Colorful Accent 6"/>
    <w:basedOn w:val="Tabel-Normal"/>
    <w:uiPriority w:val="51"/>
    <w:rsid w:val="00BC594D"/>
    <w:pPr>
      <w:spacing w:line="240" w:lineRule="auto"/>
    </w:pPr>
    <w:rPr>
      <w:color w:val="B39A00" w:themeColor="accent6" w:themeShade="BF"/>
    </w:rPr>
    <w:tblPr>
      <w:tblStyleRowBandSize w:val="1"/>
      <w:tblStyleColBandSize w:val="1"/>
      <w:tblBorders>
        <w:top w:val="single" w:sz="4" w:space="0" w:color="FFE85C" w:themeColor="accent6" w:themeTint="99"/>
        <w:left w:val="single" w:sz="4" w:space="0" w:color="FFE85C" w:themeColor="accent6" w:themeTint="99"/>
        <w:bottom w:val="single" w:sz="4" w:space="0" w:color="FFE85C" w:themeColor="accent6" w:themeTint="99"/>
        <w:right w:val="single" w:sz="4" w:space="0" w:color="FFE85C" w:themeColor="accent6" w:themeTint="99"/>
        <w:insideH w:val="single" w:sz="4" w:space="0" w:color="FFE85C" w:themeColor="accent6" w:themeTint="99"/>
        <w:insideV w:val="single" w:sz="4" w:space="0" w:color="FFE85C" w:themeColor="accent6" w:themeTint="99"/>
      </w:tblBorders>
    </w:tblPr>
    <w:tblStylePr w:type="firstRow">
      <w:rPr>
        <w:b/>
        <w:bCs/>
      </w:rPr>
      <w:tblPr/>
      <w:tcPr>
        <w:tcBorders>
          <w:bottom w:val="single" w:sz="12" w:space="0" w:color="FFE85C" w:themeColor="accent6" w:themeTint="99"/>
        </w:tcBorders>
      </w:tcPr>
    </w:tblStylePr>
    <w:tblStylePr w:type="lastRow">
      <w:rPr>
        <w:b/>
        <w:bCs/>
      </w:rPr>
      <w:tblPr/>
      <w:tcPr>
        <w:tcBorders>
          <w:top w:val="double" w:sz="4" w:space="0" w:color="FFE85C" w:themeColor="accent6" w:themeTint="99"/>
        </w:tcBorders>
      </w:tcPr>
    </w:tblStylePr>
    <w:tblStylePr w:type="firstCol">
      <w:rPr>
        <w:b/>
        <w:bCs/>
      </w:rPr>
    </w:tblStylePr>
    <w:tblStylePr w:type="lastCol">
      <w:rPr>
        <w:b/>
        <w:bCs/>
      </w:rPr>
    </w:tblStylePr>
    <w:tblStylePr w:type="band1Vert">
      <w:tblPr/>
      <w:tcPr>
        <w:shd w:val="clear" w:color="auto" w:fill="FFF7C8" w:themeFill="accent6" w:themeFillTint="33"/>
      </w:tcPr>
    </w:tblStylePr>
    <w:tblStylePr w:type="band1Horz">
      <w:tblPr/>
      <w:tcPr>
        <w:shd w:val="clear" w:color="auto" w:fill="FFF7C8" w:themeFill="accent6" w:themeFillTint="33"/>
      </w:tcPr>
    </w:tblStylePr>
  </w:style>
  <w:style w:type="table" w:styleId="Gittertabel7-farverig">
    <w:name w:val="Grid Table 7 Colorful"/>
    <w:basedOn w:val="Tabel-Normal"/>
    <w:uiPriority w:val="52"/>
    <w:rsid w:val="00BC594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tabel7-farverig-farve1">
    <w:name w:val="Grid Table 7 Colorful Accent 1"/>
    <w:basedOn w:val="Tabel-Normal"/>
    <w:uiPriority w:val="52"/>
    <w:rsid w:val="00BC594D"/>
    <w:pPr>
      <w:spacing w:line="240" w:lineRule="auto"/>
    </w:pPr>
    <w:rPr>
      <w:color w:val="50666E" w:themeColor="accent1" w:themeShade="BF"/>
    </w:rPr>
    <w:tblPr>
      <w:tblStyleRowBandSize w:val="1"/>
      <w:tblStyleColBandSize w:val="1"/>
      <w:tblBorders>
        <w:top w:val="single" w:sz="4" w:space="0" w:color="A6B8BE" w:themeColor="accent1" w:themeTint="99"/>
        <w:left w:val="single" w:sz="4" w:space="0" w:color="A6B8BE" w:themeColor="accent1" w:themeTint="99"/>
        <w:bottom w:val="single" w:sz="4" w:space="0" w:color="A6B8BE" w:themeColor="accent1" w:themeTint="99"/>
        <w:right w:val="single" w:sz="4" w:space="0" w:color="A6B8BE" w:themeColor="accent1" w:themeTint="99"/>
        <w:insideH w:val="single" w:sz="4" w:space="0" w:color="A6B8BE" w:themeColor="accent1" w:themeTint="99"/>
        <w:insideV w:val="single" w:sz="4" w:space="0" w:color="A6B8B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E7E9" w:themeFill="accent1" w:themeFillTint="33"/>
      </w:tcPr>
    </w:tblStylePr>
    <w:tblStylePr w:type="band1Horz">
      <w:tblPr/>
      <w:tcPr>
        <w:shd w:val="clear" w:color="auto" w:fill="E1E7E9" w:themeFill="accent1" w:themeFillTint="33"/>
      </w:tcPr>
    </w:tblStylePr>
    <w:tblStylePr w:type="neCell">
      <w:tblPr/>
      <w:tcPr>
        <w:tcBorders>
          <w:bottom w:val="single" w:sz="4" w:space="0" w:color="A6B8BE" w:themeColor="accent1" w:themeTint="99"/>
        </w:tcBorders>
      </w:tcPr>
    </w:tblStylePr>
    <w:tblStylePr w:type="nwCell">
      <w:tblPr/>
      <w:tcPr>
        <w:tcBorders>
          <w:bottom w:val="single" w:sz="4" w:space="0" w:color="A6B8BE" w:themeColor="accent1" w:themeTint="99"/>
        </w:tcBorders>
      </w:tcPr>
    </w:tblStylePr>
    <w:tblStylePr w:type="seCell">
      <w:tblPr/>
      <w:tcPr>
        <w:tcBorders>
          <w:top w:val="single" w:sz="4" w:space="0" w:color="A6B8BE" w:themeColor="accent1" w:themeTint="99"/>
        </w:tcBorders>
      </w:tcPr>
    </w:tblStylePr>
    <w:tblStylePr w:type="swCell">
      <w:tblPr/>
      <w:tcPr>
        <w:tcBorders>
          <w:top w:val="single" w:sz="4" w:space="0" w:color="A6B8BE" w:themeColor="accent1" w:themeTint="99"/>
        </w:tcBorders>
      </w:tcPr>
    </w:tblStylePr>
  </w:style>
  <w:style w:type="table" w:styleId="Gittertabel7-farverig-farve2">
    <w:name w:val="Grid Table 7 Colorful Accent 2"/>
    <w:basedOn w:val="Tabel-Normal"/>
    <w:uiPriority w:val="52"/>
    <w:rsid w:val="00BC594D"/>
    <w:pPr>
      <w:spacing w:line="240" w:lineRule="auto"/>
    </w:pPr>
    <w:rPr>
      <w:color w:val="004259" w:themeColor="accent2" w:themeShade="BF"/>
    </w:rPr>
    <w:tblPr>
      <w:tblStyleRowBandSize w:val="1"/>
      <w:tblStyleColBandSize w:val="1"/>
      <w:tblBorders>
        <w:top w:val="single" w:sz="4" w:space="0" w:color="15C2FF" w:themeColor="accent2" w:themeTint="99"/>
        <w:left w:val="single" w:sz="4" w:space="0" w:color="15C2FF" w:themeColor="accent2" w:themeTint="99"/>
        <w:bottom w:val="single" w:sz="4" w:space="0" w:color="15C2FF" w:themeColor="accent2" w:themeTint="99"/>
        <w:right w:val="single" w:sz="4" w:space="0" w:color="15C2FF" w:themeColor="accent2" w:themeTint="99"/>
        <w:insideH w:val="single" w:sz="4" w:space="0" w:color="15C2FF" w:themeColor="accent2" w:themeTint="99"/>
        <w:insideV w:val="single" w:sz="4" w:space="0" w:color="15C2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1EAFF" w:themeFill="accent2" w:themeFillTint="33"/>
      </w:tcPr>
    </w:tblStylePr>
    <w:tblStylePr w:type="band1Horz">
      <w:tblPr/>
      <w:tcPr>
        <w:shd w:val="clear" w:color="auto" w:fill="B1EAFF" w:themeFill="accent2" w:themeFillTint="33"/>
      </w:tcPr>
    </w:tblStylePr>
    <w:tblStylePr w:type="neCell">
      <w:tblPr/>
      <w:tcPr>
        <w:tcBorders>
          <w:bottom w:val="single" w:sz="4" w:space="0" w:color="15C2FF" w:themeColor="accent2" w:themeTint="99"/>
        </w:tcBorders>
      </w:tcPr>
    </w:tblStylePr>
    <w:tblStylePr w:type="nwCell">
      <w:tblPr/>
      <w:tcPr>
        <w:tcBorders>
          <w:bottom w:val="single" w:sz="4" w:space="0" w:color="15C2FF" w:themeColor="accent2" w:themeTint="99"/>
        </w:tcBorders>
      </w:tcPr>
    </w:tblStylePr>
    <w:tblStylePr w:type="seCell">
      <w:tblPr/>
      <w:tcPr>
        <w:tcBorders>
          <w:top w:val="single" w:sz="4" w:space="0" w:color="15C2FF" w:themeColor="accent2" w:themeTint="99"/>
        </w:tcBorders>
      </w:tcPr>
    </w:tblStylePr>
    <w:tblStylePr w:type="swCell">
      <w:tblPr/>
      <w:tcPr>
        <w:tcBorders>
          <w:top w:val="single" w:sz="4" w:space="0" w:color="15C2FF" w:themeColor="accent2" w:themeTint="99"/>
        </w:tcBorders>
      </w:tcPr>
    </w:tblStylePr>
  </w:style>
  <w:style w:type="table" w:styleId="Gittertabel7-farverig-farve3">
    <w:name w:val="Grid Table 7 Colorful Accent 3"/>
    <w:basedOn w:val="Tabel-Normal"/>
    <w:uiPriority w:val="52"/>
    <w:rsid w:val="00BC594D"/>
    <w:pPr>
      <w:spacing w:line="240" w:lineRule="auto"/>
    </w:pPr>
    <w:rPr>
      <w:color w:val="34B1E6" w:themeColor="accent3" w:themeShade="BF"/>
    </w:rPr>
    <w:tblPr>
      <w:tblStyleRowBandSize w:val="1"/>
      <w:tblStyleColBandSize w:val="1"/>
      <w:tblBorders>
        <w:top w:val="single" w:sz="4" w:space="0" w:color="B8E3F6" w:themeColor="accent3" w:themeTint="99"/>
        <w:left w:val="single" w:sz="4" w:space="0" w:color="B8E3F6" w:themeColor="accent3" w:themeTint="99"/>
        <w:bottom w:val="single" w:sz="4" w:space="0" w:color="B8E3F6" w:themeColor="accent3" w:themeTint="99"/>
        <w:right w:val="single" w:sz="4" w:space="0" w:color="B8E3F6" w:themeColor="accent3" w:themeTint="99"/>
        <w:insideH w:val="single" w:sz="4" w:space="0" w:color="B8E3F6" w:themeColor="accent3" w:themeTint="99"/>
        <w:insideV w:val="single" w:sz="4" w:space="0" w:color="B8E3F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5FC" w:themeFill="accent3" w:themeFillTint="33"/>
      </w:tcPr>
    </w:tblStylePr>
    <w:tblStylePr w:type="band1Horz">
      <w:tblPr/>
      <w:tcPr>
        <w:shd w:val="clear" w:color="auto" w:fill="E7F5FC" w:themeFill="accent3" w:themeFillTint="33"/>
      </w:tcPr>
    </w:tblStylePr>
    <w:tblStylePr w:type="neCell">
      <w:tblPr/>
      <w:tcPr>
        <w:tcBorders>
          <w:bottom w:val="single" w:sz="4" w:space="0" w:color="B8E3F6" w:themeColor="accent3" w:themeTint="99"/>
        </w:tcBorders>
      </w:tcPr>
    </w:tblStylePr>
    <w:tblStylePr w:type="nwCell">
      <w:tblPr/>
      <w:tcPr>
        <w:tcBorders>
          <w:bottom w:val="single" w:sz="4" w:space="0" w:color="B8E3F6" w:themeColor="accent3" w:themeTint="99"/>
        </w:tcBorders>
      </w:tcPr>
    </w:tblStylePr>
    <w:tblStylePr w:type="seCell">
      <w:tblPr/>
      <w:tcPr>
        <w:tcBorders>
          <w:top w:val="single" w:sz="4" w:space="0" w:color="B8E3F6" w:themeColor="accent3" w:themeTint="99"/>
        </w:tcBorders>
      </w:tcPr>
    </w:tblStylePr>
    <w:tblStylePr w:type="swCell">
      <w:tblPr/>
      <w:tcPr>
        <w:tcBorders>
          <w:top w:val="single" w:sz="4" w:space="0" w:color="B8E3F6" w:themeColor="accent3" w:themeTint="99"/>
        </w:tcBorders>
      </w:tcPr>
    </w:tblStylePr>
  </w:style>
  <w:style w:type="table" w:styleId="Gittertabel7-farverig-farve4">
    <w:name w:val="Grid Table 7 Colorful Accent 4"/>
    <w:basedOn w:val="Tabel-Normal"/>
    <w:uiPriority w:val="52"/>
    <w:rsid w:val="00BC594D"/>
    <w:pPr>
      <w:spacing w:line="240" w:lineRule="auto"/>
    </w:pPr>
    <w:rPr>
      <w:color w:val="FF740A" w:themeColor="accent4" w:themeShade="BF"/>
    </w:rPr>
    <w:tblPr>
      <w:tblStyleRowBandSize w:val="1"/>
      <w:tblStyleColBandSize w:val="1"/>
      <w:tblBorders>
        <w:top w:val="single" w:sz="4" w:space="0" w:color="FFCAA1" w:themeColor="accent4" w:themeTint="99"/>
        <w:left w:val="single" w:sz="4" w:space="0" w:color="FFCAA1" w:themeColor="accent4" w:themeTint="99"/>
        <w:bottom w:val="single" w:sz="4" w:space="0" w:color="FFCAA1" w:themeColor="accent4" w:themeTint="99"/>
        <w:right w:val="single" w:sz="4" w:space="0" w:color="FFCAA1" w:themeColor="accent4" w:themeTint="99"/>
        <w:insideH w:val="single" w:sz="4" w:space="0" w:color="FFCAA1" w:themeColor="accent4" w:themeTint="99"/>
        <w:insideV w:val="single" w:sz="4" w:space="0" w:color="FFCAA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DDF" w:themeFill="accent4" w:themeFillTint="33"/>
      </w:tcPr>
    </w:tblStylePr>
    <w:tblStylePr w:type="band1Horz">
      <w:tblPr/>
      <w:tcPr>
        <w:shd w:val="clear" w:color="auto" w:fill="FFEDDF" w:themeFill="accent4" w:themeFillTint="33"/>
      </w:tcPr>
    </w:tblStylePr>
    <w:tblStylePr w:type="neCell">
      <w:tblPr/>
      <w:tcPr>
        <w:tcBorders>
          <w:bottom w:val="single" w:sz="4" w:space="0" w:color="FFCAA1" w:themeColor="accent4" w:themeTint="99"/>
        </w:tcBorders>
      </w:tcPr>
    </w:tblStylePr>
    <w:tblStylePr w:type="nwCell">
      <w:tblPr/>
      <w:tcPr>
        <w:tcBorders>
          <w:bottom w:val="single" w:sz="4" w:space="0" w:color="FFCAA1" w:themeColor="accent4" w:themeTint="99"/>
        </w:tcBorders>
      </w:tcPr>
    </w:tblStylePr>
    <w:tblStylePr w:type="seCell">
      <w:tblPr/>
      <w:tcPr>
        <w:tcBorders>
          <w:top w:val="single" w:sz="4" w:space="0" w:color="FFCAA1" w:themeColor="accent4" w:themeTint="99"/>
        </w:tcBorders>
      </w:tcPr>
    </w:tblStylePr>
    <w:tblStylePr w:type="swCell">
      <w:tblPr/>
      <w:tcPr>
        <w:tcBorders>
          <w:top w:val="single" w:sz="4" w:space="0" w:color="FFCAA1" w:themeColor="accent4" w:themeTint="99"/>
        </w:tcBorders>
      </w:tcPr>
    </w:tblStylePr>
  </w:style>
  <w:style w:type="table" w:styleId="Gittertabel7-farverig-farve5">
    <w:name w:val="Grid Table 7 Colorful Accent 5"/>
    <w:basedOn w:val="Tabel-Normal"/>
    <w:uiPriority w:val="52"/>
    <w:rsid w:val="00BC594D"/>
    <w:pPr>
      <w:spacing w:line="240" w:lineRule="auto"/>
    </w:pPr>
    <w:rPr>
      <w:color w:val="29B26B" w:themeColor="accent5" w:themeShade="BF"/>
    </w:rPr>
    <w:tblPr>
      <w:tblStyleRowBandSize w:val="1"/>
      <w:tblStyleColBandSize w:val="1"/>
      <w:tblBorders>
        <w:top w:val="single" w:sz="4" w:space="0" w:color="95E6BC" w:themeColor="accent5" w:themeTint="99"/>
        <w:left w:val="single" w:sz="4" w:space="0" w:color="95E6BC" w:themeColor="accent5" w:themeTint="99"/>
        <w:bottom w:val="single" w:sz="4" w:space="0" w:color="95E6BC" w:themeColor="accent5" w:themeTint="99"/>
        <w:right w:val="single" w:sz="4" w:space="0" w:color="95E6BC" w:themeColor="accent5" w:themeTint="99"/>
        <w:insideH w:val="single" w:sz="4" w:space="0" w:color="95E6BC" w:themeColor="accent5" w:themeTint="99"/>
        <w:insideV w:val="single" w:sz="4" w:space="0" w:color="95E6B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F6E8" w:themeFill="accent5" w:themeFillTint="33"/>
      </w:tcPr>
    </w:tblStylePr>
    <w:tblStylePr w:type="band1Horz">
      <w:tblPr/>
      <w:tcPr>
        <w:shd w:val="clear" w:color="auto" w:fill="DBF6E8" w:themeFill="accent5" w:themeFillTint="33"/>
      </w:tcPr>
    </w:tblStylePr>
    <w:tblStylePr w:type="neCell">
      <w:tblPr/>
      <w:tcPr>
        <w:tcBorders>
          <w:bottom w:val="single" w:sz="4" w:space="0" w:color="95E6BC" w:themeColor="accent5" w:themeTint="99"/>
        </w:tcBorders>
      </w:tcPr>
    </w:tblStylePr>
    <w:tblStylePr w:type="nwCell">
      <w:tblPr/>
      <w:tcPr>
        <w:tcBorders>
          <w:bottom w:val="single" w:sz="4" w:space="0" w:color="95E6BC" w:themeColor="accent5" w:themeTint="99"/>
        </w:tcBorders>
      </w:tcPr>
    </w:tblStylePr>
    <w:tblStylePr w:type="seCell">
      <w:tblPr/>
      <w:tcPr>
        <w:tcBorders>
          <w:top w:val="single" w:sz="4" w:space="0" w:color="95E6BC" w:themeColor="accent5" w:themeTint="99"/>
        </w:tcBorders>
      </w:tcPr>
    </w:tblStylePr>
    <w:tblStylePr w:type="swCell">
      <w:tblPr/>
      <w:tcPr>
        <w:tcBorders>
          <w:top w:val="single" w:sz="4" w:space="0" w:color="95E6BC" w:themeColor="accent5" w:themeTint="99"/>
        </w:tcBorders>
      </w:tcPr>
    </w:tblStylePr>
  </w:style>
  <w:style w:type="table" w:styleId="Gittertabel7-farverig-farve6">
    <w:name w:val="Grid Table 7 Colorful Accent 6"/>
    <w:basedOn w:val="Tabel-Normal"/>
    <w:uiPriority w:val="52"/>
    <w:rsid w:val="00BC594D"/>
    <w:pPr>
      <w:spacing w:line="240" w:lineRule="auto"/>
    </w:pPr>
    <w:rPr>
      <w:color w:val="B39A00" w:themeColor="accent6" w:themeShade="BF"/>
    </w:rPr>
    <w:tblPr>
      <w:tblStyleRowBandSize w:val="1"/>
      <w:tblStyleColBandSize w:val="1"/>
      <w:tblBorders>
        <w:top w:val="single" w:sz="4" w:space="0" w:color="FFE85C" w:themeColor="accent6" w:themeTint="99"/>
        <w:left w:val="single" w:sz="4" w:space="0" w:color="FFE85C" w:themeColor="accent6" w:themeTint="99"/>
        <w:bottom w:val="single" w:sz="4" w:space="0" w:color="FFE85C" w:themeColor="accent6" w:themeTint="99"/>
        <w:right w:val="single" w:sz="4" w:space="0" w:color="FFE85C" w:themeColor="accent6" w:themeTint="99"/>
        <w:insideH w:val="single" w:sz="4" w:space="0" w:color="FFE85C" w:themeColor="accent6" w:themeTint="99"/>
        <w:insideV w:val="single" w:sz="4" w:space="0" w:color="FFE85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7C8" w:themeFill="accent6" w:themeFillTint="33"/>
      </w:tcPr>
    </w:tblStylePr>
    <w:tblStylePr w:type="band1Horz">
      <w:tblPr/>
      <w:tcPr>
        <w:shd w:val="clear" w:color="auto" w:fill="FFF7C8" w:themeFill="accent6" w:themeFillTint="33"/>
      </w:tcPr>
    </w:tblStylePr>
    <w:tblStylePr w:type="neCell">
      <w:tblPr/>
      <w:tcPr>
        <w:tcBorders>
          <w:bottom w:val="single" w:sz="4" w:space="0" w:color="FFE85C" w:themeColor="accent6" w:themeTint="99"/>
        </w:tcBorders>
      </w:tcPr>
    </w:tblStylePr>
    <w:tblStylePr w:type="nwCell">
      <w:tblPr/>
      <w:tcPr>
        <w:tcBorders>
          <w:bottom w:val="single" w:sz="4" w:space="0" w:color="FFE85C" w:themeColor="accent6" w:themeTint="99"/>
        </w:tcBorders>
      </w:tcPr>
    </w:tblStylePr>
    <w:tblStylePr w:type="seCell">
      <w:tblPr/>
      <w:tcPr>
        <w:tcBorders>
          <w:top w:val="single" w:sz="4" w:space="0" w:color="FFE85C" w:themeColor="accent6" w:themeTint="99"/>
        </w:tcBorders>
      </w:tcPr>
    </w:tblStylePr>
    <w:tblStylePr w:type="swCell">
      <w:tblPr/>
      <w:tcPr>
        <w:tcBorders>
          <w:top w:val="single" w:sz="4" w:space="0" w:color="FFE85C" w:themeColor="accent6" w:themeTint="99"/>
        </w:tcBorders>
      </w:tcPr>
    </w:tblStylePr>
  </w:style>
  <w:style w:type="character" w:customStyle="1" w:styleId="Hashtag1">
    <w:name w:val="Hashtag1"/>
    <w:basedOn w:val="Standardskrifttypeiafsnit"/>
    <w:uiPriority w:val="99"/>
    <w:semiHidden/>
    <w:unhideWhenUsed/>
    <w:rsid w:val="00BC594D"/>
    <w:rPr>
      <w:color w:val="2B579A"/>
      <w:shd w:val="clear" w:color="auto" w:fill="E1DFDD"/>
      <w:lang w:val="da-DK"/>
    </w:rPr>
  </w:style>
  <w:style w:type="character" w:styleId="HTML-akronym">
    <w:name w:val="HTML Acronym"/>
    <w:basedOn w:val="Standardskrifttypeiafsnit"/>
    <w:uiPriority w:val="99"/>
    <w:semiHidden/>
    <w:rsid w:val="00BC594D"/>
    <w:rPr>
      <w:lang w:val="da-DK"/>
    </w:rPr>
  </w:style>
  <w:style w:type="paragraph" w:styleId="HTML-adresse">
    <w:name w:val="HTML Address"/>
    <w:basedOn w:val="Normal"/>
    <w:link w:val="HTML-adresseTegn"/>
    <w:uiPriority w:val="99"/>
    <w:semiHidden/>
    <w:rsid w:val="00BC594D"/>
    <w:pPr>
      <w:spacing w:line="240" w:lineRule="auto"/>
    </w:pPr>
    <w:rPr>
      <w:i/>
      <w:iCs/>
    </w:rPr>
  </w:style>
  <w:style w:type="character" w:customStyle="1" w:styleId="HTML-adresseTegn">
    <w:name w:val="HTML-adresse Tegn"/>
    <w:basedOn w:val="Standardskrifttypeiafsnit"/>
    <w:link w:val="HTML-adresse"/>
    <w:uiPriority w:val="99"/>
    <w:semiHidden/>
    <w:rsid w:val="00BC594D"/>
    <w:rPr>
      <w:i/>
      <w:iCs/>
      <w:lang w:val="da-DK"/>
    </w:rPr>
  </w:style>
  <w:style w:type="character" w:styleId="HTML-citat">
    <w:name w:val="HTML Cite"/>
    <w:basedOn w:val="Standardskrifttypeiafsnit"/>
    <w:uiPriority w:val="99"/>
    <w:semiHidden/>
    <w:rsid w:val="00BC594D"/>
    <w:rPr>
      <w:i/>
      <w:iCs/>
      <w:lang w:val="da-DK"/>
    </w:rPr>
  </w:style>
  <w:style w:type="character" w:styleId="HTML-kode">
    <w:name w:val="HTML Code"/>
    <w:basedOn w:val="Standardskrifttypeiafsnit"/>
    <w:uiPriority w:val="99"/>
    <w:semiHidden/>
    <w:rsid w:val="00BC594D"/>
    <w:rPr>
      <w:rFonts w:ascii="Consolas" w:hAnsi="Consolas"/>
      <w:sz w:val="20"/>
      <w:szCs w:val="20"/>
      <w:lang w:val="da-DK"/>
    </w:rPr>
  </w:style>
  <w:style w:type="character" w:styleId="HTML-definition">
    <w:name w:val="HTML Definition"/>
    <w:basedOn w:val="Standardskrifttypeiafsnit"/>
    <w:uiPriority w:val="99"/>
    <w:semiHidden/>
    <w:rsid w:val="00BC594D"/>
    <w:rPr>
      <w:i/>
      <w:iCs/>
      <w:lang w:val="da-DK"/>
    </w:rPr>
  </w:style>
  <w:style w:type="character" w:styleId="HTML-tastatur">
    <w:name w:val="HTML Keyboard"/>
    <w:basedOn w:val="Standardskrifttypeiafsnit"/>
    <w:uiPriority w:val="99"/>
    <w:semiHidden/>
    <w:rsid w:val="00BC594D"/>
    <w:rPr>
      <w:rFonts w:ascii="Consolas" w:hAnsi="Consolas"/>
      <w:sz w:val="20"/>
      <w:szCs w:val="20"/>
      <w:lang w:val="da-DK"/>
    </w:rPr>
  </w:style>
  <w:style w:type="paragraph" w:styleId="FormateretHTML">
    <w:name w:val="HTML Preformatted"/>
    <w:basedOn w:val="Normal"/>
    <w:link w:val="FormateretHTMLTegn"/>
    <w:uiPriority w:val="99"/>
    <w:semiHidden/>
    <w:unhideWhenUsed/>
    <w:rsid w:val="00BC594D"/>
    <w:pPr>
      <w:spacing w:line="240" w:lineRule="auto"/>
    </w:pPr>
    <w:rPr>
      <w:rFonts w:ascii="Consolas" w:hAnsi="Consolas"/>
    </w:rPr>
  </w:style>
  <w:style w:type="character" w:customStyle="1" w:styleId="FormateretHTMLTegn">
    <w:name w:val="Formateret HTML Tegn"/>
    <w:basedOn w:val="Standardskrifttypeiafsnit"/>
    <w:link w:val="FormateretHTML"/>
    <w:uiPriority w:val="99"/>
    <w:semiHidden/>
    <w:rsid w:val="00BC594D"/>
    <w:rPr>
      <w:rFonts w:ascii="Consolas" w:hAnsi="Consolas"/>
      <w:lang w:val="da-DK"/>
    </w:rPr>
  </w:style>
  <w:style w:type="character" w:styleId="HTML-eksempel">
    <w:name w:val="HTML Sample"/>
    <w:basedOn w:val="Standardskrifttypeiafsnit"/>
    <w:uiPriority w:val="99"/>
    <w:semiHidden/>
    <w:rsid w:val="00BC594D"/>
    <w:rPr>
      <w:rFonts w:ascii="Consolas" w:hAnsi="Consolas"/>
      <w:sz w:val="24"/>
      <w:szCs w:val="24"/>
      <w:lang w:val="da-DK"/>
    </w:rPr>
  </w:style>
  <w:style w:type="character" w:styleId="HTML-skrivemaskine">
    <w:name w:val="HTML Typewriter"/>
    <w:basedOn w:val="Standardskrifttypeiafsnit"/>
    <w:uiPriority w:val="99"/>
    <w:semiHidden/>
    <w:rsid w:val="00BC594D"/>
    <w:rPr>
      <w:rFonts w:ascii="Consolas" w:hAnsi="Consolas"/>
      <w:sz w:val="20"/>
      <w:szCs w:val="20"/>
      <w:lang w:val="da-DK"/>
    </w:rPr>
  </w:style>
  <w:style w:type="character" w:styleId="HTML-variabel">
    <w:name w:val="HTML Variable"/>
    <w:basedOn w:val="Standardskrifttypeiafsnit"/>
    <w:uiPriority w:val="99"/>
    <w:semiHidden/>
    <w:rsid w:val="00BC594D"/>
    <w:rPr>
      <w:i/>
      <w:iCs/>
      <w:lang w:val="da-DK"/>
    </w:rPr>
  </w:style>
  <w:style w:type="paragraph" w:styleId="Indeks1">
    <w:name w:val="index 1"/>
    <w:basedOn w:val="Normal"/>
    <w:next w:val="Normal"/>
    <w:autoRedefine/>
    <w:uiPriority w:val="99"/>
    <w:semiHidden/>
    <w:rsid w:val="00BC594D"/>
    <w:pPr>
      <w:spacing w:line="240" w:lineRule="auto"/>
      <w:ind w:left="200" w:hanging="200"/>
    </w:pPr>
  </w:style>
  <w:style w:type="paragraph" w:styleId="Indeks2">
    <w:name w:val="index 2"/>
    <w:basedOn w:val="Normal"/>
    <w:next w:val="Normal"/>
    <w:autoRedefine/>
    <w:uiPriority w:val="99"/>
    <w:semiHidden/>
    <w:rsid w:val="00BC594D"/>
    <w:pPr>
      <w:spacing w:line="240" w:lineRule="auto"/>
      <w:ind w:left="400" w:hanging="200"/>
    </w:pPr>
  </w:style>
  <w:style w:type="paragraph" w:styleId="Indeks3">
    <w:name w:val="index 3"/>
    <w:basedOn w:val="Normal"/>
    <w:next w:val="Normal"/>
    <w:autoRedefine/>
    <w:uiPriority w:val="99"/>
    <w:semiHidden/>
    <w:rsid w:val="00BC594D"/>
    <w:pPr>
      <w:spacing w:line="240" w:lineRule="auto"/>
      <w:ind w:left="600" w:hanging="200"/>
    </w:pPr>
  </w:style>
  <w:style w:type="paragraph" w:styleId="Indeks4">
    <w:name w:val="index 4"/>
    <w:basedOn w:val="Normal"/>
    <w:next w:val="Normal"/>
    <w:autoRedefine/>
    <w:uiPriority w:val="99"/>
    <w:semiHidden/>
    <w:rsid w:val="00BC594D"/>
    <w:pPr>
      <w:spacing w:line="240" w:lineRule="auto"/>
      <w:ind w:left="800" w:hanging="200"/>
    </w:pPr>
  </w:style>
  <w:style w:type="paragraph" w:styleId="Indeks5">
    <w:name w:val="index 5"/>
    <w:basedOn w:val="Normal"/>
    <w:next w:val="Normal"/>
    <w:autoRedefine/>
    <w:uiPriority w:val="99"/>
    <w:semiHidden/>
    <w:rsid w:val="00BC594D"/>
    <w:pPr>
      <w:spacing w:line="240" w:lineRule="auto"/>
      <w:ind w:left="1000" w:hanging="200"/>
    </w:pPr>
  </w:style>
  <w:style w:type="paragraph" w:styleId="Indeks6">
    <w:name w:val="index 6"/>
    <w:basedOn w:val="Normal"/>
    <w:next w:val="Normal"/>
    <w:autoRedefine/>
    <w:uiPriority w:val="99"/>
    <w:semiHidden/>
    <w:rsid w:val="00BC594D"/>
    <w:pPr>
      <w:spacing w:line="240" w:lineRule="auto"/>
      <w:ind w:left="1200" w:hanging="200"/>
    </w:pPr>
  </w:style>
  <w:style w:type="paragraph" w:styleId="Indeks7">
    <w:name w:val="index 7"/>
    <w:basedOn w:val="Normal"/>
    <w:next w:val="Normal"/>
    <w:autoRedefine/>
    <w:uiPriority w:val="99"/>
    <w:semiHidden/>
    <w:rsid w:val="00BC594D"/>
    <w:pPr>
      <w:spacing w:line="240" w:lineRule="auto"/>
      <w:ind w:left="1400" w:hanging="200"/>
    </w:pPr>
  </w:style>
  <w:style w:type="paragraph" w:styleId="Indeks8">
    <w:name w:val="index 8"/>
    <w:basedOn w:val="Normal"/>
    <w:next w:val="Normal"/>
    <w:autoRedefine/>
    <w:uiPriority w:val="99"/>
    <w:semiHidden/>
    <w:rsid w:val="00BC594D"/>
    <w:pPr>
      <w:spacing w:line="240" w:lineRule="auto"/>
      <w:ind w:left="1600" w:hanging="200"/>
    </w:pPr>
  </w:style>
  <w:style w:type="paragraph" w:styleId="Indeks9">
    <w:name w:val="index 9"/>
    <w:basedOn w:val="Normal"/>
    <w:next w:val="Normal"/>
    <w:autoRedefine/>
    <w:uiPriority w:val="99"/>
    <w:semiHidden/>
    <w:rsid w:val="00BC594D"/>
    <w:pPr>
      <w:spacing w:line="240" w:lineRule="auto"/>
      <w:ind w:left="1800" w:hanging="200"/>
    </w:pPr>
  </w:style>
  <w:style w:type="paragraph" w:styleId="Indeksoverskrift">
    <w:name w:val="index heading"/>
    <w:basedOn w:val="Normal"/>
    <w:next w:val="Indeks1"/>
    <w:uiPriority w:val="99"/>
    <w:semiHidden/>
    <w:rsid w:val="00BC594D"/>
    <w:rPr>
      <w:rFonts w:asciiTheme="majorHAnsi" w:eastAsiaTheme="majorEastAsia" w:hAnsiTheme="majorHAnsi" w:cstheme="majorBidi"/>
      <w:b/>
      <w:bCs/>
    </w:rPr>
  </w:style>
  <w:style w:type="table" w:styleId="Lystgitter">
    <w:name w:val="Light Grid"/>
    <w:basedOn w:val="Tabel-Normal"/>
    <w:uiPriority w:val="62"/>
    <w:semiHidden/>
    <w:unhideWhenUsed/>
    <w:rsid w:val="00BC594D"/>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gitter-farve1">
    <w:name w:val="Light Grid Accent 1"/>
    <w:basedOn w:val="Tabel-Normal"/>
    <w:uiPriority w:val="62"/>
    <w:semiHidden/>
    <w:unhideWhenUsed/>
    <w:rsid w:val="00BC594D"/>
    <w:pPr>
      <w:spacing w:line="240" w:lineRule="auto"/>
    </w:pPr>
    <w:tblPr>
      <w:tblStyleRowBandSize w:val="1"/>
      <w:tblStyleColBandSize w:val="1"/>
      <w:tblBorders>
        <w:top w:val="single" w:sz="8" w:space="0" w:color="6B8994" w:themeColor="accent1"/>
        <w:left w:val="single" w:sz="8" w:space="0" w:color="6B8994" w:themeColor="accent1"/>
        <w:bottom w:val="single" w:sz="8" w:space="0" w:color="6B8994" w:themeColor="accent1"/>
        <w:right w:val="single" w:sz="8" w:space="0" w:color="6B8994" w:themeColor="accent1"/>
        <w:insideH w:val="single" w:sz="8" w:space="0" w:color="6B8994" w:themeColor="accent1"/>
        <w:insideV w:val="single" w:sz="8" w:space="0" w:color="6B899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8994" w:themeColor="accent1"/>
          <w:left w:val="single" w:sz="8" w:space="0" w:color="6B8994" w:themeColor="accent1"/>
          <w:bottom w:val="single" w:sz="18" w:space="0" w:color="6B8994" w:themeColor="accent1"/>
          <w:right w:val="single" w:sz="8" w:space="0" w:color="6B8994" w:themeColor="accent1"/>
          <w:insideH w:val="nil"/>
          <w:insideV w:val="single" w:sz="8" w:space="0" w:color="6B899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8994" w:themeColor="accent1"/>
          <w:left w:val="single" w:sz="8" w:space="0" w:color="6B8994" w:themeColor="accent1"/>
          <w:bottom w:val="single" w:sz="8" w:space="0" w:color="6B8994" w:themeColor="accent1"/>
          <w:right w:val="single" w:sz="8" w:space="0" w:color="6B8994" w:themeColor="accent1"/>
          <w:insideH w:val="nil"/>
          <w:insideV w:val="single" w:sz="8" w:space="0" w:color="6B899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8994" w:themeColor="accent1"/>
          <w:left w:val="single" w:sz="8" w:space="0" w:color="6B8994" w:themeColor="accent1"/>
          <w:bottom w:val="single" w:sz="8" w:space="0" w:color="6B8994" w:themeColor="accent1"/>
          <w:right w:val="single" w:sz="8" w:space="0" w:color="6B8994" w:themeColor="accent1"/>
        </w:tcBorders>
      </w:tcPr>
    </w:tblStylePr>
    <w:tblStylePr w:type="band1Vert">
      <w:tblPr/>
      <w:tcPr>
        <w:tcBorders>
          <w:top w:val="single" w:sz="8" w:space="0" w:color="6B8994" w:themeColor="accent1"/>
          <w:left w:val="single" w:sz="8" w:space="0" w:color="6B8994" w:themeColor="accent1"/>
          <w:bottom w:val="single" w:sz="8" w:space="0" w:color="6B8994" w:themeColor="accent1"/>
          <w:right w:val="single" w:sz="8" w:space="0" w:color="6B8994" w:themeColor="accent1"/>
        </w:tcBorders>
        <w:shd w:val="clear" w:color="auto" w:fill="DAE1E4" w:themeFill="accent1" w:themeFillTint="3F"/>
      </w:tcPr>
    </w:tblStylePr>
    <w:tblStylePr w:type="band1Horz">
      <w:tblPr/>
      <w:tcPr>
        <w:tcBorders>
          <w:top w:val="single" w:sz="8" w:space="0" w:color="6B8994" w:themeColor="accent1"/>
          <w:left w:val="single" w:sz="8" w:space="0" w:color="6B8994" w:themeColor="accent1"/>
          <w:bottom w:val="single" w:sz="8" w:space="0" w:color="6B8994" w:themeColor="accent1"/>
          <w:right w:val="single" w:sz="8" w:space="0" w:color="6B8994" w:themeColor="accent1"/>
          <w:insideV w:val="single" w:sz="8" w:space="0" w:color="6B8994" w:themeColor="accent1"/>
        </w:tcBorders>
        <w:shd w:val="clear" w:color="auto" w:fill="DAE1E4" w:themeFill="accent1" w:themeFillTint="3F"/>
      </w:tcPr>
    </w:tblStylePr>
    <w:tblStylePr w:type="band2Horz">
      <w:tblPr/>
      <w:tcPr>
        <w:tcBorders>
          <w:top w:val="single" w:sz="8" w:space="0" w:color="6B8994" w:themeColor="accent1"/>
          <w:left w:val="single" w:sz="8" w:space="0" w:color="6B8994" w:themeColor="accent1"/>
          <w:bottom w:val="single" w:sz="8" w:space="0" w:color="6B8994" w:themeColor="accent1"/>
          <w:right w:val="single" w:sz="8" w:space="0" w:color="6B8994" w:themeColor="accent1"/>
          <w:insideV w:val="single" w:sz="8" w:space="0" w:color="6B8994" w:themeColor="accent1"/>
        </w:tcBorders>
      </w:tcPr>
    </w:tblStylePr>
  </w:style>
  <w:style w:type="table" w:styleId="Lystgitter-fremhvningsfarve2">
    <w:name w:val="Light Grid Accent 2"/>
    <w:basedOn w:val="Tabel-Normal"/>
    <w:uiPriority w:val="62"/>
    <w:semiHidden/>
    <w:unhideWhenUsed/>
    <w:rsid w:val="00BC594D"/>
    <w:pPr>
      <w:spacing w:line="240" w:lineRule="auto"/>
    </w:pPr>
    <w:tblPr>
      <w:tblStyleRowBandSize w:val="1"/>
      <w:tblStyleColBandSize w:val="1"/>
      <w:tblBorders>
        <w:top w:val="single" w:sz="8" w:space="0" w:color="005978" w:themeColor="accent2"/>
        <w:left w:val="single" w:sz="8" w:space="0" w:color="005978" w:themeColor="accent2"/>
        <w:bottom w:val="single" w:sz="8" w:space="0" w:color="005978" w:themeColor="accent2"/>
        <w:right w:val="single" w:sz="8" w:space="0" w:color="005978" w:themeColor="accent2"/>
        <w:insideH w:val="single" w:sz="8" w:space="0" w:color="005978" w:themeColor="accent2"/>
        <w:insideV w:val="single" w:sz="8" w:space="0" w:color="00597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978" w:themeColor="accent2"/>
          <w:left w:val="single" w:sz="8" w:space="0" w:color="005978" w:themeColor="accent2"/>
          <w:bottom w:val="single" w:sz="18" w:space="0" w:color="005978" w:themeColor="accent2"/>
          <w:right w:val="single" w:sz="8" w:space="0" w:color="005978" w:themeColor="accent2"/>
          <w:insideH w:val="nil"/>
          <w:insideV w:val="single" w:sz="8" w:space="0" w:color="00597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978" w:themeColor="accent2"/>
          <w:left w:val="single" w:sz="8" w:space="0" w:color="005978" w:themeColor="accent2"/>
          <w:bottom w:val="single" w:sz="8" w:space="0" w:color="005978" w:themeColor="accent2"/>
          <w:right w:val="single" w:sz="8" w:space="0" w:color="005978" w:themeColor="accent2"/>
          <w:insideH w:val="nil"/>
          <w:insideV w:val="single" w:sz="8" w:space="0" w:color="00597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978" w:themeColor="accent2"/>
          <w:left w:val="single" w:sz="8" w:space="0" w:color="005978" w:themeColor="accent2"/>
          <w:bottom w:val="single" w:sz="8" w:space="0" w:color="005978" w:themeColor="accent2"/>
          <w:right w:val="single" w:sz="8" w:space="0" w:color="005978" w:themeColor="accent2"/>
        </w:tcBorders>
      </w:tcPr>
    </w:tblStylePr>
    <w:tblStylePr w:type="band1Vert">
      <w:tblPr/>
      <w:tcPr>
        <w:tcBorders>
          <w:top w:val="single" w:sz="8" w:space="0" w:color="005978" w:themeColor="accent2"/>
          <w:left w:val="single" w:sz="8" w:space="0" w:color="005978" w:themeColor="accent2"/>
          <w:bottom w:val="single" w:sz="8" w:space="0" w:color="005978" w:themeColor="accent2"/>
          <w:right w:val="single" w:sz="8" w:space="0" w:color="005978" w:themeColor="accent2"/>
        </w:tcBorders>
        <w:shd w:val="clear" w:color="auto" w:fill="9EE5FF" w:themeFill="accent2" w:themeFillTint="3F"/>
      </w:tcPr>
    </w:tblStylePr>
    <w:tblStylePr w:type="band1Horz">
      <w:tblPr/>
      <w:tcPr>
        <w:tcBorders>
          <w:top w:val="single" w:sz="8" w:space="0" w:color="005978" w:themeColor="accent2"/>
          <w:left w:val="single" w:sz="8" w:space="0" w:color="005978" w:themeColor="accent2"/>
          <w:bottom w:val="single" w:sz="8" w:space="0" w:color="005978" w:themeColor="accent2"/>
          <w:right w:val="single" w:sz="8" w:space="0" w:color="005978" w:themeColor="accent2"/>
          <w:insideV w:val="single" w:sz="8" w:space="0" w:color="005978" w:themeColor="accent2"/>
        </w:tcBorders>
        <w:shd w:val="clear" w:color="auto" w:fill="9EE5FF" w:themeFill="accent2" w:themeFillTint="3F"/>
      </w:tcPr>
    </w:tblStylePr>
    <w:tblStylePr w:type="band2Horz">
      <w:tblPr/>
      <w:tcPr>
        <w:tcBorders>
          <w:top w:val="single" w:sz="8" w:space="0" w:color="005978" w:themeColor="accent2"/>
          <w:left w:val="single" w:sz="8" w:space="0" w:color="005978" w:themeColor="accent2"/>
          <w:bottom w:val="single" w:sz="8" w:space="0" w:color="005978" w:themeColor="accent2"/>
          <w:right w:val="single" w:sz="8" w:space="0" w:color="005978" w:themeColor="accent2"/>
          <w:insideV w:val="single" w:sz="8" w:space="0" w:color="005978" w:themeColor="accent2"/>
        </w:tcBorders>
      </w:tcPr>
    </w:tblStylePr>
  </w:style>
  <w:style w:type="table" w:styleId="Lystgitter-fremhvningsfarve3">
    <w:name w:val="Light Grid Accent 3"/>
    <w:basedOn w:val="Tabel-Normal"/>
    <w:uiPriority w:val="62"/>
    <w:semiHidden/>
    <w:unhideWhenUsed/>
    <w:rsid w:val="00BC594D"/>
    <w:pPr>
      <w:spacing w:line="240" w:lineRule="auto"/>
    </w:pPr>
    <w:tblPr>
      <w:tblStyleRowBandSize w:val="1"/>
      <w:tblStyleColBandSize w:val="1"/>
      <w:tblBorders>
        <w:top w:val="single" w:sz="8" w:space="0" w:color="8AD2F1" w:themeColor="accent3"/>
        <w:left w:val="single" w:sz="8" w:space="0" w:color="8AD2F1" w:themeColor="accent3"/>
        <w:bottom w:val="single" w:sz="8" w:space="0" w:color="8AD2F1" w:themeColor="accent3"/>
        <w:right w:val="single" w:sz="8" w:space="0" w:color="8AD2F1" w:themeColor="accent3"/>
        <w:insideH w:val="single" w:sz="8" w:space="0" w:color="8AD2F1" w:themeColor="accent3"/>
        <w:insideV w:val="single" w:sz="8" w:space="0" w:color="8AD2F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AD2F1" w:themeColor="accent3"/>
          <w:left w:val="single" w:sz="8" w:space="0" w:color="8AD2F1" w:themeColor="accent3"/>
          <w:bottom w:val="single" w:sz="18" w:space="0" w:color="8AD2F1" w:themeColor="accent3"/>
          <w:right w:val="single" w:sz="8" w:space="0" w:color="8AD2F1" w:themeColor="accent3"/>
          <w:insideH w:val="nil"/>
          <w:insideV w:val="single" w:sz="8" w:space="0" w:color="8AD2F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AD2F1" w:themeColor="accent3"/>
          <w:left w:val="single" w:sz="8" w:space="0" w:color="8AD2F1" w:themeColor="accent3"/>
          <w:bottom w:val="single" w:sz="8" w:space="0" w:color="8AD2F1" w:themeColor="accent3"/>
          <w:right w:val="single" w:sz="8" w:space="0" w:color="8AD2F1" w:themeColor="accent3"/>
          <w:insideH w:val="nil"/>
          <w:insideV w:val="single" w:sz="8" w:space="0" w:color="8AD2F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AD2F1" w:themeColor="accent3"/>
          <w:left w:val="single" w:sz="8" w:space="0" w:color="8AD2F1" w:themeColor="accent3"/>
          <w:bottom w:val="single" w:sz="8" w:space="0" w:color="8AD2F1" w:themeColor="accent3"/>
          <w:right w:val="single" w:sz="8" w:space="0" w:color="8AD2F1" w:themeColor="accent3"/>
        </w:tcBorders>
      </w:tcPr>
    </w:tblStylePr>
    <w:tblStylePr w:type="band1Vert">
      <w:tblPr/>
      <w:tcPr>
        <w:tcBorders>
          <w:top w:val="single" w:sz="8" w:space="0" w:color="8AD2F1" w:themeColor="accent3"/>
          <w:left w:val="single" w:sz="8" w:space="0" w:color="8AD2F1" w:themeColor="accent3"/>
          <w:bottom w:val="single" w:sz="8" w:space="0" w:color="8AD2F1" w:themeColor="accent3"/>
          <w:right w:val="single" w:sz="8" w:space="0" w:color="8AD2F1" w:themeColor="accent3"/>
        </w:tcBorders>
        <w:shd w:val="clear" w:color="auto" w:fill="E1F3FB" w:themeFill="accent3" w:themeFillTint="3F"/>
      </w:tcPr>
    </w:tblStylePr>
    <w:tblStylePr w:type="band1Horz">
      <w:tblPr/>
      <w:tcPr>
        <w:tcBorders>
          <w:top w:val="single" w:sz="8" w:space="0" w:color="8AD2F1" w:themeColor="accent3"/>
          <w:left w:val="single" w:sz="8" w:space="0" w:color="8AD2F1" w:themeColor="accent3"/>
          <w:bottom w:val="single" w:sz="8" w:space="0" w:color="8AD2F1" w:themeColor="accent3"/>
          <w:right w:val="single" w:sz="8" w:space="0" w:color="8AD2F1" w:themeColor="accent3"/>
          <w:insideV w:val="single" w:sz="8" w:space="0" w:color="8AD2F1" w:themeColor="accent3"/>
        </w:tcBorders>
        <w:shd w:val="clear" w:color="auto" w:fill="E1F3FB" w:themeFill="accent3" w:themeFillTint="3F"/>
      </w:tcPr>
    </w:tblStylePr>
    <w:tblStylePr w:type="band2Horz">
      <w:tblPr/>
      <w:tcPr>
        <w:tcBorders>
          <w:top w:val="single" w:sz="8" w:space="0" w:color="8AD2F1" w:themeColor="accent3"/>
          <w:left w:val="single" w:sz="8" w:space="0" w:color="8AD2F1" w:themeColor="accent3"/>
          <w:bottom w:val="single" w:sz="8" w:space="0" w:color="8AD2F1" w:themeColor="accent3"/>
          <w:right w:val="single" w:sz="8" w:space="0" w:color="8AD2F1" w:themeColor="accent3"/>
          <w:insideV w:val="single" w:sz="8" w:space="0" w:color="8AD2F1" w:themeColor="accent3"/>
        </w:tcBorders>
      </w:tcPr>
    </w:tblStylePr>
  </w:style>
  <w:style w:type="table" w:styleId="Lystgitter-fremhvningsfarve4">
    <w:name w:val="Light Grid Accent 4"/>
    <w:basedOn w:val="Tabel-Normal"/>
    <w:uiPriority w:val="62"/>
    <w:semiHidden/>
    <w:unhideWhenUsed/>
    <w:rsid w:val="00BC594D"/>
    <w:pPr>
      <w:spacing w:line="240" w:lineRule="auto"/>
    </w:pPr>
    <w:tblPr>
      <w:tblStyleRowBandSize w:val="1"/>
      <w:tblStyleColBandSize w:val="1"/>
      <w:tblBorders>
        <w:top w:val="single" w:sz="8" w:space="0" w:color="FFA763" w:themeColor="accent4"/>
        <w:left w:val="single" w:sz="8" w:space="0" w:color="FFA763" w:themeColor="accent4"/>
        <w:bottom w:val="single" w:sz="8" w:space="0" w:color="FFA763" w:themeColor="accent4"/>
        <w:right w:val="single" w:sz="8" w:space="0" w:color="FFA763" w:themeColor="accent4"/>
        <w:insideH w:val="single" w:sz="8" w:space="0" w:color="FFA763" w:themeColor="accent4"/>
        <w:insideV w:val="single" w:sz="8" w:space="0" w:color="FFA763"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A763" w:themeColor="accent4"/>
          <w:left w:val="single" w:sz="8" w:space="0" w:color="FFA763" w:themeColor="accent4"/>
          <w:bottom w:val="single" w:sz="18" w:space="0" w:color="FFA763" w:themeColor="accent4"/>
          <w:right w:val="single" w:sz="8" w:space="0" w:color="FFA763" w:themeColor="accent4"/>
          <w:insideH w:val="nil"/>
          <w:insideV w:val="single" w:sz="8" w:space="0" w:color="FFA763"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A763" w:themeColor="accent4"/>
          <w:left w:val="single" w:sz="8" w:space="0" w:color="FFA763" w:themeColor="accent4"/>
          <w:bottom w:val="single" w:sz="8" w:space="0" w:color="FFA763" w:themeColor="accent4"/>
          <w:right w:val="single" w:sz="8" w:space="0" w:color="FFA763" w:themeColor="accent4"/>
          <w:insideH w:val="nil"/>
          <w:insideV w:val="single" w:sz="8" w:space="0" w:color="FFA763"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A763" w:themeColor="accent4"/>
          <w:left w:val="single" w:sz="8" w:space="0" w:color="FFA763" w:themeColor="accent4"/>
          <w:bottom w:val="single" w:sz="8" w:space="0" w:color="FFA763" w:themeColor="accent4"/>
          <w:right w:val="single" w:sz="8" w:space="0" w:color="FFA763" w:themeColor="accent4"/>
        </w:tcBorders>
      </w:tcPr>
    </w:tblStylePr>
    <w:tblStylePr w:type="band1Vert">
      <w:tblPr/>
      <w:tcPr>
        <w:tcBorders>
          <w:top w:val="single" w:sz="8" w:space="0" w:color="FFA763" w:themeColor="accent4"/>
          <w:left w:val="single" w:sz="8" w:space="0" w:color="FFA763" w:themeColor="accent4"/>
          <w:bottom w:val="single" w:sz="8" w:space="0" w:color="FFA763" w:themeColor="accent4"/>
          <w:right w:val="single" w:sz="8" w:space="0" w:color="FFA763" w:themeColor="accent4"/>
        </w:tcBorders>
        <w:shd w:val="clear" w:color="auto" w:fill="FFE9D8" w:themeFill="accent4" w:themeFillTint="3F"/>
      </w:tcPr>
    </w:tblStylePr>
    <w:tblStylePr w:type="band1Horz">
      <w:tblPr/>
      <w:tcPr>
        <w:tcBorders>
          <w:top w:val="single" w:sz="8" w:space="0" w:color="FFA763" w:themeColor="accent4"/>
          <w:left w:val="single" w:sz="8" w:space="0" w:color="FFA763" w:themeColor="accent4"/>
          <w:bottom w:val="single" w:sz="8" w:space="0" w:color="FFA763" w:themeColor="accent4"/>
          <w:right w:val="single" w:sz="8" w:space="0" w:color="FFA763" w:themeColor="accent4"/>
          <w:insideV w:val="single" w:sz="8" w:space="0" w:color="FFA763" w:themeColor="accent4"/>
        </w:tcBorders>
        <w:shd w:val="clear" w:color="auto" w:fill="FFE9D8" w:themeFill="accent4" w:themeFillTint="3F"/>
      </w:tcPr>
    </w:tblStylePr>
    <w:tblStylePr w:type="band2Horz">
      <w:tblPr/>
      <w:tcPr>
        <w:tcBorders>
          <w:top w:val="single" w:sz="8" w:space="0" w:color="FFA763" w:themeColor="accent4"/>
          <w:left w:val="single" w:sz="8" w:space="0" w:color="FFA763" w:themeColor="accent4"/>
          <w:bottom w:val="single" w:sz="8" w:space="0" w:color="FFA763" w:themeColor="accent4"/>
          <w:right w:val="single" w:sz="8" w:space="0" w:color="FFA763" w:themeColor="accent4"/>
          <w:insideV w:val="single" w:sz="8" w:space="0" w:color="FFA763" w:themeColor="accent4"/>
        </w:tcBorders>
      </w:tcPr>
    </w:tblStylePr>
  </w:style>
  <w:style w:type="table" w:styleId="Lystgitter-fremhvningsfarve5">
    <w:name w:val="Light Grid Accent 5"/>
    <w:basedOn w:val="Tabel-Normal"/>
    <w:uiPriority w:val="62"/>
    <w:semiHidden/>
    <w:unhideWhenUsed/>
    <w:rsid w:val="00BC594D"/>
    <w:pPr>
      <w:spacing w:line="240" w:lineRule="auto"/>
    </w:pPr>
    <w:tblPr>
      <w:tblStyleRowBandSize w:val="1"/>
      <w:tblStyleColBandSize w:val="1"/>
      <w:tblBorders>
        <w:top w:val="single" w:sz="8" w:space="0" w:color="50D691" w:themeColor="accent5"/>
        <w:left w:val="single" w:sz="8" w:space="0" w:color="50D691" w:themeColor="accent5"/>
        <w:bottom w:val="single" w:sz="8" w:space="0" w:color="50D691" w:themeColor="accent5"/>
        <w:right w:val="single" w:sz="8" w:space="0" w:color="50D691" w:themeColor="accent5"/>
        <w:insideH w:val="single" w:sz="8" w:space="0" w:color="50D691" w:themeColor="accent5"/>
        <w:insideV w:val="single" w:sz="8" w:space="0" w:color="50D691"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D691" w:themeColor="accent5"/>
          <w:left w:val="single" w:sz="8" w:space="0" w:color="50D691" w:themeColor="accent5"/>
          <w:bottom w:val="single" w:sz="18" w:space="0" w:color="50D691" w:themeColor="accent5"/>
          <w:right w:val="single" w:sz="8" w:space="0" w:color="50D691" w:themeColor="accent5"/>
          <w:insideH w:val="nil"/>
          <w:insideV w:val="single" w:sz="8" w:space="0" w:color="50D691"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D691" w:themeColor="accent5"/>
          <w:left w:val="single" w:sz="8" w:space="0" w:color="50D691" w:themeColor="accent5"/>
          <w:bottom w:val="single" w:sz="8" w:space="0" w:color="50D691" w:themeColor="accent5"/>
          <w:right w:val="single" w:sz="8" w:space="0" w:color="50D691" w:themeColor="accent5"/>
          <w:insideH w:val="nil"/>
          <w:insideV w:val="single" w:sz="8" w:space="0" w:color="50D691"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D691" w:themeColor="accent5"/>
          <w:left w:val="single" w:sz="8" w:space="0" w:color="50D691" w:themeColor="accent5"/>
          <w:bottom w:val="single" w:sz="8" w:space="0" w:color="50D691" w:themeColor="accent5"/>
          <w:right w:val="single" w:sz="8" w:space="0" w:color="50D691" w:themeColor="accent5"/>
        </w:tcBorders>
      </w:tcPr>
    </w:tblStylePr>
    <w:tblStylePr w:type="band1Vert">
      <w:tblPr/>
      <w:tcPr>
        <w:tcBorders>
          <w:top w:val="single" w:sz="8" w:space="0" w:color="50D691" w:themeColor="accent5"/>
          <w:left w:val="single" w:sz="8" w:space="0" w:color="50D691" w:themeColor="accent5"/>
          <w:bottom w:val="single" w:sz="8" w:space="0" w:color="50D691" w:themeColor="accent5"/>
          <w:right w:val="single" w:sz="8" w:space="0" w:color="50D691" w:themeColor="accent5"/>
        </w:tcBorders>
        <w:shd w:val="clear" w:color="auto" w:fill="D3F4E3" w:themeFill="accent5" w:themeFillTint="3F"/>
      </w:tcPr>
    </w:tblStylePr>
    <w:tblStylePr w:type="band1Horz">
      <w:tblPr/>
      <w:tcPr>
        <w:tcBorders>
          <w:top w:val="single" w:sz="8" w:space="0" w:color="50D691" w:themeColor="accent5"/>
          <w:left w:val="single" w:sz="8" w:space="0" w:color="50D691" w:themeColor="accent5"/>
          <w:bottom w:val="single" w:sz="8" w:space="0" w:color="50D691" w:themeColor="accent5"/>
          <w:right w:val="single" w:sz="8" w:space="0" w:color="50D691" w:themeColor="accent5"/>
          <w:insideV w:val="single" w:sz="8" w:space="0" w:color="50D691" w:themeColor="accent5"/>
        </w:tcBorders>
        <w:shd w:val="clear" w:color="auto" w:fill="D3F4E3" w:themeFill="accent5" w:themeFillTint="3F"/>
      </w:tcPr>
    </w:tblStylePr>
    <w:tblStylePr w:type="band2Horz">
      <w:tblPr/>
      <w:tcPr>
        <w:tcBorders>
          <w:top w:val="single" w:sz="8" w:space="0" w:color="50D691" w:themeColor="accent5"/>
          <w:left w:val="single" w:sz="8" w:space="0" w:color="50D691" w:themeColor="accent5"/>
          <w:bottom w:val="single" w:sz="8" w:space="0" w:color="50D691" w:themeColor="accent5"/>
          <w:right w:val="single" w:sz="8" w:space="0" w:color="50D691" w:themeColor="accent5"/>
          <w:insideV w:val="single" w:sz="8" w:space="0" w:color="50D691" w:themeColor="accent5"/>
        </w:tcBorders>
      </w:tcPr>
    </w:tblStylePr>
  </w:style>
  <w:style w:type="table" w:styleId="Lystgitter-fremhvningsfarve6">
    <w:name w:val="Light Grid Accent 6"/>
    <w:basedOn w:val="Tabel-Normal"/>
    <w:uiPriority w:val="62"/>
    <w:semiHidden/>
    <w:unhideWhenUsed/>
    <w:rsid w:val="00BC594D"/>
    <w:pPr>
      <w:spacing w:line="240" w:lineRule="auto"/>
    </w:pPr>
    <w:tblPr>
      <w:tblStyleRowBandSize w:val="1"/>
      <w:tblStyleColBandSize w:val="1"/>
      <w:tblBorders>
        <w:top w:val="single" w:sz="8" w:space="0" w:color="EFCF00" w:themeColor="accent6"/>
        <w:left w:val="single" w:sz="8" w:space="0" w:color="EFCF00" w:themeColor="accent6"/>
        <w:bottom w:val="single" w:sz="8" w:space="0" w:color="EFCF00" w:themeColor="accent6"/>
        <w:right w:val="single" w:sz="8" w:space="0" w:color="EFCF00" w:themeColor="accent6"/>
        <w:insideH w:val="single" w:sz="8" w:space="0" w:color="EFCF00" w:themeColor="accent6"/>
        <w:insideV w:val="single" w:sz="8" w:space="0" w:color="EF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FCF00" w:themeColor="accent6"/>
          <w:left w:val="single" w:sz="8" w:space="0" w:color="EFCF00" w:themeColor="accent6"/>
          <w:bottom w:val="single" w:sz="18" w:space="0" w:color="EFCF00" w:themeColor="accent6"/>
          <w:right w:val="single" w:sz="8" w:space="0" w:color="EFCF00" w:themeColor="accent6"/>
          <w:insideH w:val="nil"/>
          <w:insideV w:val="single" w:sz="8" w:space="0" w:color="EF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FCF00" w:themeColor="accent6"/>
          <w:left w:val="single" w:sz="8" w:space="0" w:color="EFCF00" w:themeColor="accent6"/>
          <w:bottom w:val="single" w:sz="8" w:space="0" w:color="EFCF00" w:themeColor="accent6"/>
          <w:right w:val="single" w:sz="8" w:space="0" w:color="EFCF00" w:themeColor="accent6"/>
          <w:insideH w:val="nil"/>
          <w:insideV w:val="single" w:sz="8" w:space="0" w:color="EF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FCF00" w:themeColor="accent6"/>
          <w:left w:val="single" w:sz="8" w:space="0" w:color="EFCF00" w:themeColor="accent6"/>
          <w:bottom w:val="single" w:sz="8" w:space="0" w:color="EFCF00" w:themeColor="accent6"/>
          <w:right w:val="single" w:sz="8" w:space="0" w:color="EFCF00" w:themeColor="accent6"/>
        </w:tcBorders>
      </w:tcPr>
    </w:tblStylePr>
    <w:tblStylePr w:type="band1Vert">
      <w:tblPr/>
      <w:tcPr>
        <w:tcBorders>
          <w:top w:val="single" w:sz="8" w:space="0" w:color="EFCF00" w:themeColor="accent6"/>
          <w:left w:val="single" w:sz="8" w:space="0" w:color="EFCF00" w:themeColor="accent6"/>
          <w:bottom w:val="single" w:sz="8" w:space="0" w:color="EFCF00" w:themeColor="accent6"/>
          <w:right w:val="single" w:sz="8" w:space="0" w:color="EFCF00" w:themeColor="accent6"/>
        </w:tcBorders>
        <w:shd w:val="clear" w:color="auto" w:fill="FFF5BC" w:themeFill="accent6" w:themeFillTint="3F"/>
      </w:tcPr>
    </w:tblStylePr>
    <w:tblStylePr w:type="band1Horz">
      <w:tblPr/>
      <w:tcPr>
        <w:tcBorders>
          <w:top w:val="single" w:sz="8" w:space="0" w:color="EFCF00" w:themeColor="accent6"/>
          <w:left w:val="single" w:sz="8" w:space="0" w:color="EFCF00" w:themeColor="accent6"/>
          <w:bottom w:val="single" w:sz="8" w:space="0" w:color="EFCF00" w:themeColor="accent6"/>
          <w:right w:val="single" w:sz="8" w:space="0" w:color="EFCF00" w:themeColor="accent6"/>
          <w:insideV w:val="single" w:sz="8" w:space="0" w:color="EFCF00" w:themeColor="accent6"/>
        </w:tcBorders>
        <w:shd w:val="clear" w:color="auto" w:fill="FFF5BC" w:themeFill="accent6" w:themeFillTint="3F"/>
      </w:tcPr>
    </w:tblStylePr>
    <w:tblStylePr w:type="band2Horz">
      <w:tblPr/>
      <w:tcPr>
        <w:tcBorders>
          <w:top w:val="single" w:sz="8" w:space="0" w:color="EFCF00" w:themeColor="accent6"/>
          <w:left w:val="single" w:sz="8" w:space="0" w:color="EFCF00" w:themeColor="accent6"/>
          <w:bottom w:val="single" w:sz="8" w:space="0" w:color="EFCF00" w:themeColor="accent6"/>
          <w:right w:val="single" w:sz="8" w:space="0" w:color="EFCF00" w:themeColor="accent6"/>
          <w:insideV w:val="single" w:sz="8" w:space="0" w:color="EFCF00" w:themeColor="accent6"/>
        </w:tcBorders>
      </w:tcPr>
    </w:tblStylePr>
  </w:style>
  <w:style w:type="table" w:styleId="Lysliste">
    <w:name w:val="Light List"/>
    <w:basedOn w:val="Tabel-Normal"/>
    <w:uiPriority w:val="61"/>
    <w:semiHidden/>
    <w:unhideWhenUsed/>
    <w:rsid w:val="00BC594D"/>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farve1">
    <w:name w:val="Light List Accent 1"/>
    <w:basedOn w:val="Tabel-Normal"/>
    <w:uiPriority w:val="61"/>
    <w:semiHidden/>
    <w:unhideWhenUsed/>
    <w:rsid w:val="00BC594D"/>
    <w:pPr>
      <w:spacing w:line="240" w:lineRule="auto"/>
    </w:pPr>
    <w:tblPr>
      <w:tblStyleRowBandSize w:val="1"/>
      <w:tblStyleColBandSize w:val="1"/>
      <w:tblBorders>
        <w:top w:val="single" w:sz="8" w:space="0" w:color="6B8994" w:themeColor="accent1"/>
        <w:left w:val="single" w:sz="8" w:space="0" w:color="6B8994" w:themeColor="accent1"/>
        <w:bottom w:val="single" w:sz="8" w:space="0" w:color="6B8994" w:themeColor="accent1"/>
        <w:right w:val="single" w:sz="8" w:space="0" w:color="6B8994" w:themeColor="accent1"/>
      </w:tblBorders>
    </w:tblPr>
    <w:tblStylePr w:type="firstRow">
      <w:pPr>
        <w:spacing w:before="0" w:after="0" w:line="240" w:lineRule="auto"/>
      </w:pPr>
      <w:rPr>
        <w:b/>
        <w:bCs/>
        <w:color w:val="FFFFFF" w:themeColor="background1"/>
      </w:rPr>
      <w:tblPr/>
      <w:tcPr>
        <w:shd w:val="clear" w:color="auto" w:fill="6B8994" w:themeFill="accent1"/>
      </w:tcPr>
    </w:tblStylePr>
    <w:tblStylePr w:type="lastRow">
      <w:pPr>
        <w:spacing w:before="0" w:after="0" w:line="240" w:lineRule="auto"/>
      </w:pPr>
      <w:rPr>
        <w:b/>
        <w:bCs/>
      </w:rPr>
      <w:tblPr/>
      <w:tcPr>
        <w:tcBorders>
          <w:top w:val="double" w:sz="6" w:space="0" w:color="6B8994" w:themeColor="accent1"/>
          <w:left w:val="single" w:sz="8" w:space="0" w:color="6B8994" w:themeColor="accent1"/>
          <w:bottom w:val="single" w:sz="8" w:space="0" w:color="6B8994" w:themeColor="accent1"/>
          <w:right w:val="single" w:sz="8" w:space="0" w:color="6B8994" w:themeColor="accent1"/>
        </w:tcBorders>
      </w:tcPr>
    </w:tblStylePr>
    <w:tblStylePr w:type="firstCol">
      <w:rPr>
        <w:b/>
        <w:bCs/>
      </w:rPr>
    </w:tblStylePr>
    <w:tblStylePr w:type="lastCol">
      <w:rPr>
        <w:b/>
        <w:bCs/>
      </w:rPr>
    </w:tblStylePr>
    <w:tblStylePr w:type="band1Vert">
      <w:tblPr/>
      <w:tcPr>
        <w:tcBorders>
          <w:top w:val="single" w:sz="8" w:space="0" w:color="6B8994" w:themeColor="accent1"/>
          <w:left w:val="single" w:sz="8" w:space="0" w:color="6B8994" w:themeColor="accent1"/>
          <w:bottom w:val="single" w:sz="8" w:space="0" w:color="6B8994" w:themeColor="accent1"/>
          <w:right w:val="single" w:sz="8" w:space="0" w:color="6B8994" w:themeColor="accent1"/>
        </w:tcBorders>
      </w:tcPr>
    </w:tblStylePr>
    <w:tblStylePr w:type="band1Horz">
      <w:tblPr/>
      <w:tcPr>
        <w:tcBorders>
          <w:top w:val="single" w:sz="8" w:space="0" w:color="6B8994" w:themeColor="accent1"/>
          <w:left w:val="single" w:sz="8" w:space="0" w:color="6B8994" w:themeColor="accent1"/>
          <w:bottom w:val="single" w:sz="8" w:space="0" w:color="6B8994" w:themeColor="accent1"/>
          <w:right w:val="single" w:sz="8" w:space="0" w:color="6B8994" w:themeColor="accent1"/>
        </w:tcBorders>
      </w:tcPr>
    </w:tblStylePr>
  </w:style>
  <w:style w:type="table" w:styleId="Lysliste-fremhvningsfarve2">
    <w:name w:val="Light List Accent 2"/>
    <w:basedOn w:val="Tabel-Normal"/>
    <w:uiPriority w:val="61"/>
    <w:semiHidden/>
    <w:unhideWhenUsed/>
    <w:rsid w:val="00BC594D"/>
    <w:pPr>
      <w:spacing w:line="240" w:lineRule="auto"/>
    </w:pPr>
    <w:tblPr>
      <w:tblStyleRowBandSize w:val="1"/>
      <w:tblStyleColBandSize w:val="1"/>
      <w:tblBorders>
        <w:top w:val="single" w:sz="8" w:space="0" w:color="005978" w:themeColor="accent2"/>
        <w:left w:val="single" w:sz="8" w:space="0" w:color="005978" w:themeColor="accent2"/>
        <w:bottom w:val="single" w:sz="8" w:space="0" w:color="005978" w:themeColor="accent2"/>
        <w:right w:val="single" w:sz="8" w:space="0" w:color="005978" w:themeColor="accent2"/>
      </w:tblBorders>
    </w:tblPr>
    <w:tblStylePr w:type="firstRow">
      <w:pPr>
        <w:spacing w:before="0" w:after="0" w:line="240" w:lineRule="auto"/>
      </w:pPr>
      <w:rPr>
        <w:b/>
        <w:bCs/>
        <w:color w:val="FFFFFF" w:themeColor="background1"/>
      </w:rPr>
      <w:tblPr/>
      <w:tcPr>
        <w:shd w:val="clear" w:color="auto" w:fill="005978" w:themeFill="accent2"/>
      </w:tcPr>
    </w:tblStylePr>
    <w:tblStylePr w:type="lastRow">
      <w:pPr>
        <w:spacing w:before="0" w:after="0" w:line="240" w:lineRule="auto"/>
      </w:pPr>
      <w:rPr>
        <w:b/>
        <w:bCs/>
      </w:rPr>
      <w:tblPr/>
      <w:tcPr>
        <w:tcBorders>
          <w:top w:val="double" w:sz="6" w:space="0" w:color="005978" w:themeColor="accent2"/>
          <w:left w:val="single" w:sz="8" w:space="0" w:color="005978" w:themeColor="accent2"/>
          <w:bottom w:val="single" w:sz="8" w:space="0" w:color="005978" w:themeColor="accent2"/>
          <w:right w:val="single" w:sz="8" w:space="0" w:color="005978" w:themeColor="accent2"/>
        </w:tcBorders>
      </w:tcPr>
    </w:tblStylePr>
    <w:tblStylePr w:type="firstCol">
      <w:rPr>
        <w:b/>
        <w:bCs/>
      </w:rPr>
    </w:tblStylePr>
    <w:tblStylePr w:type="lastCol">
      <w:rPr>
        <w:b/>
        <w:bCs/>
      </w:rPr>
    </w:tblStylePr>
    <w:tblStylePr w:type="band1Vert">
      <w:tblPr/>
      <w:tcPr>
        <w:tcBorders>
          <w:top w:val="single" w:sz="8" w:space="0" w:color="005978" w:themeColor="accent2"/>
          <w:left w:val="single" w:sz="8" w:space="0" w:color="005978" w:themeColor="accent2"/>
          <w:bottom w:val="single" w:sz="8" w:space="0" w:color="005978" w:themeColor="accent2"/>
          <w:right w:val="single" w:sz="8" w:space="0" w:color="005978" w:themeColor="accent2"/>
        </w:tcBorders>
      </w:tcPr>
    </w:tblStylePr>
    <w:tblStylePr w:type="band1Horz">
      <w:tblPr/>
      <w:tcPr>
        <w:tcBorders>
          <w:top w:val="single" w:sz="8" w:space="0" w:color="005978" w:themeColor="accent2"/>
          <w:left w:val="single" w:sz="8" w:space="0" w:color="005978" w:themeColor="accent2"/>
          <w:bottom w:val="single" w:sz="8" w:space="0" w:color="005978" w:themeColor="accent2"/>
          <w:right w:val="single" w:sz="8" w:space="0" w:color="005978" w:themeColor="accent2"/>
        </w:tcBorders>
      </w:tcPr>
    </w:tblStylePr>
  </w:style>
  <w:style w:type="table" w:styleId="Lysliste-fremhvningsfarve3">
    <w:name w:val="Light List Accent 3"/>
    <w:basedOn w:val="Tabel-Normal"/>
    <w:uiPriority w:val="61"/>
    <w:semiHidden/>
    <w:unhideWhenUsed/>
    <w:rsid w:val="00BC594D"/>
    <w:pPr>
      <w:spacing w:line="240" w:lineRule="auto"/>
    </w:pPr>
    <w:tblPr>
      <w:tblStyleRowBandSize w:val="1"/>
      <w:tblStyleColBandSize w:val="1"/>
      <w:tblBorders>
        <w:top w:val="single" w:sz="8" w:space="0" w:color="8AD2F1" w:themeColor="accent3"/>
        <w:left w:val="single" w:sz="8" w:space="0" w:color="8AD2F1" w:themeColor="accent3"/>
        <w:bottom w:val="single" w:sz="8" w:space="0" w:color="8AD2F1" w:themeColor="accent3"/>
        <w:right w:val="single" w:sz="8" w:space="0" w:color="8AD2F1" w:themeColor="accent3"/>
      </w:tblBorders>
    </w:tblPr>
    <w:tblStylePr w:type="firstRow">
      <w:pPr>
        <w:spacing w:before="0" w:after="0" w:line="240" w:lineRule="auto"/>
      </w:pPr>
      <w:rPr>
        <w:b/>
        <w:bCs/>
        <w:color w:val="FFFFFF" w:themeColor="background1"/>
      </w:rPr>
      <w:tblPr/>
      <w:tcPr>
        <w:shd w:val="clear" w:color="auto" w:fill="8AD2F1" w:themeFill="accent3"/>
      </w:tcPr>
    </w:tblStylePr>
    <w:tblStylePr w:type="lastRow">
      <w:pPr>
        <w:spacing w:before="0" w:after="0" w:line="240" w:lineRule="auto"/>
      </w:pPr>
      <w:rPr>
        <w:b/>
        <w:bCs/>
      </w:rPr>
      <w:tblPr/>
      <w:tcPr>
        <w:tcBorders>
          <w:top w:val="double" w:sz="6" w:space="0" w:color="8AD2F1" w:themeColor="accent3"/>
          <w:left w:val="single" w:sz="8" w:space="0" w:color="8AD2F1" w:themeColor="accent3"/>
          <w:bottom w:val="single" w:sz="8" w:space="0" w:color="8AD2F1" w:themeColor="accent3"/>
          <w:right w:val="single" w:sz="8" w:space="0" w:color="8AD2F1" w:themeColor="accent3"/>
        </w:tcBorders>
      </w:tcPr>
    </w:tblStylePr>
    <w:tblStylePr w:type="firstCol">
      <w:rPr>
        <w:b/>
        <w:bCs/>
      </w:rPr>
    </w:tblStylePr>
    <w:tblStylePr w:type="lastCol">
      <w:rPr>
        <w:b/>
        <w:bCs/>
      </w:rPr>
    </w:tblStylePr>
    <w:tblStylePr w:type="band1Vert">
      <w:tblPr/>
      <w:tcPr>
        <w:tcBorders>
          <w:top w:val="single" w:sz="8" w:space="0" w:color="8AD2F1" w:themeColor="accent3"/>
          <w:left w:val="single" w:sz="8" w:space="0" w:color="8AD2F1" w:themeColor="accent3"/>
          <w:bottom w:val="single" w:sz="8" w:space="0" w:color="8AD2F1" w:themeColor="accent3"/>
          <w:right w:val="single" w:sz="8" w:space="0" w:color="8AD2F1" w:themeColor="accent3"/>
        </w:tcBorders>
      </w:tcPr>
    </w:tblStylePr>
    <w:tblStylePr w:type="band1Horz">
      <w:tblPr/>
      <w:tcPr>
        <w:tcBorders>
          <w:top w:val="single" w:sz="8" w:space="0" w:color="8AD2F1" w:themeColor="accent3"/>
          <w:left w:val="single" w:sz="8" w:space="0" w:color="8AD2F1" w:themeColor="accent3"/>
          <w:bottom w:val="single" w:sz="8" w:space="0" w:color="8AD2F1" w:themeColor="accent3"/>
          <w:right w:val="single" w:sz="8" w:space="0" w:color="8AD2F1" w:themeColor="accent3"/>
        </w:tcBorders>
      </w:tcPr>
    </w:tblStylePr>
  </w:style>
  <w:style w:type="table" w:styleId="Lysliste-fremhvningsfarve4">
    <w:name w:val="Light List Accent 4"/>
    <w:basedOn w:val="Tabel-Normal"/>
    <w:uiPriority w:val="61"/>
    <w:semiHidden/>
    <w:unhideWhenUsed/>
    <w:rsid w:val="00BC594D"/>
    <w:pPr>
      <w:spacing w:line="240" w:lineRule="auto"/>
    </w:pPr>
    <w:tblPr>
      <w:tblStyleRowBandSize w:val="1"/>
      <w:tblStyleColBandSize w:val="1"/>
      <w:tblBorders>
        <w:top w:val="single" w:sz="8" w:space="0" w:color="FFA763" w:themeColor="accent4"/>
        <w:left w:val="single" w:sz="8" w:space="0" w:color="FFA763" w:themeColor="accent4"/>
        <w:bottom w:val="single" w:sz="8" w:space="0" w:color="FFA763" w:themeColor="accent4"/>
        <w:right w:val="single" w:sz="8" w:space="0" w:color="FFA763" w:themeColor="accent4"/>
      </w:tblBorders>
    </w:tblPr>
    <w:tblStylePr w:type="firstRow">
      <w:pPr>
        <w:spacing w:before="0" w:after="0" w:line="240" w:lineRule="auto"/>
      </w:pPr>
      <w:rPr>
        <w:b/>
        <w:bCs/>
        <w:color w:val="FFFFFF" w:themeColor="background1"/>
      </w:rPr>
      <w:tblPr/>
      <w:tcPr>
        <w:shd w:val="clear" w:color="auto" w:fill="FFA763" w:themeFill="accent4"/>
      </w:tcPr>
    </w:tblStylePr>
    <w:tblStylePr w:type="lastRow">
      <w:pPr>
        <w:spacing w:before="0" w:after="0" w:line="240" w:lineRule="auto"/>
      </w:pPr>
      <w:rPr>
        <w:b/>
        <w:bCs/>
      </w:rPr>
      <w:tblPr/>
      <w:tcPr>
        <w:tcBorders>
          <w:top w:val="double" w:sz="6" w:space="0" w:color="FFA763" w:themeColor="accent4"/>
          <w:left w:val="single" w:sz="8" w:space="0" w:color="FFA763" w:themeColor="accent4"/>
          <w:bottom w:val="single" w:sz="8" w:space="0" w:color="FFA763" w:themeColor="accent4"/>
          <w:right w:val="single" w:sz="8" w:space="0" w:color="FFA763" w:themeColor="accent4"/>
        </w:tcBorders>
      </w:tcPr>
    </w:tblStylePr>
    <w:tblStylePr w:type="firstCol">
      <w:rPr>
        <w:b/>
        <w:bCs/>
      </w:rPr>
    </w:tblStylePr>
    <w:tblStylePr w:type="lastCol">
      <w:rPr>
        <w:b/>
        <w:bCs/>
      </w:rPr>
    </w:tblStylePr>
    <w:tblStylePr w:type="band1Vert">
      <w:tblPr/>
      <w:tcPr>
        <w:tcBorders>
          <w:top w:val="single" w:sz="8" w:space="0" w:color="FFA763" w:themeColor="accent4"/>
          <w:left w:val="single" w:sz="8" w:space="0" w:color="FFA763" w:themeColor="accent4"/>
          <w:bottom w:val="single" w:sz="8" w:space="0" w:color="FFA763" w:themeColor="accent4"/>
          <w:right w:val="single" w:sz="8" w:space="0" w:color="FFA763" w:themeColor="accent4"/>
        </w:tcBorders>
      </w:tcPr>
    </w:tblStylePr>
    <w:tblStylePr w:type="band1Horz">
      <w:tblPr/>
      <w:tcPr>
        <w:tcBorders>
          <w:top w:val="single" w:sz="8" w:space="0" w:color="FFA763" w:themeColor="accent4"/>
          <w:left w:val="single" w:sz="8" w:space="0" w:color="FFA763" w:themeColor="accent4"/>
          <w:bottom w:val="single" w:sz="8" w:space="0" w:color="FFA763" w:themeColor="accent4"/>
          <w:right w:val="single" w:sz="8" w:space="0" w:color="FFA763" w:themeColor="accent4"/>
        </w:tcBorders>
      </w:tcPr>
    </w:tblStylePr>
  </w:style>
  <w:style w:type="table" w:styleId="Lysliste-fremhvningsfarve5">
    <w:name w:val="Light List Accent 5"/>
    <w:basedOn w:val="Tabel-Normal"/>
    <w:uiPriority w:val="61"/>
    <w:semiHidden/>
    <w:unhideWhenUsed/>
    <w:rsid w:val="00BC594D"/>
    <w:pPr>
      <w:spacing w:line="240" w:lineRule="auto"/>
    </w:pPr>
    <w:tblPr>
      <w:tblStyleRowBandSize w:val="1"/>
      <w:tblStyleColBandSize w:val="1"/>
      <w:tblBorders>
        <w:top w:val="single" w:sz="8" w:space="0" w:color="50D691" w:themeColor="accent5"/>
        <w:left w:val="single" w:sz="8" w:space="0" w:color="50D691" w:themeColor="accent5"/>
        <w:bottom w:val="single" w:sz="8" w:space="0" w:color="50D691" w:themeColor="accent5"/>
        <w:right w:val="single" w:sz="8" w:space="0" w:color="50D691" w:themeColor="accent5"/>
      </w:tblBorders>
    </w:tblPr>
    <w:tblStylePr w:type="firstRow">
      <w:pPr>
        <w:spacing w:before="0" w:after="0" w:line="240" w:lineRule="auto"/>
      </w:pPr>
      <w:rPr>
        <w:b/>
        <w:bCs/>
        <w:color w:val="FFFFFF" w:themeColor="background1"/>
      </w:rPr>
      <w:tblPr/>
      <w:tcPr>
        <w:shd w:val="clear" w:color="auto" w:fill="50D691" w:themeFill="accent5"/>
      </w:tcPr>
    </w:tblStylePr>
    <w:tblStylePr w:type="lastRow">
      <w:pPr>
        <w:spacing w:before="0" w:after="0" w:line="240" w:lineRule="auto"/>
      </w:pPr>
      <w:rPr>
        <w:b/>
        <w:bCs/>
      </w:rPr>
      <w:tblPr/>
      <w:tcPr>
        <w:tcBorders>
          <w:top w:val="double" w:sz="6" w:space="0" w:color="50D691" w:themeColor="accent5"/>
          <w:left w:val="single" w:sz="8" w:space="0" w:color="50D691" w:themeColor="accent5"/>
          <w:bottom w:val="single" w:sz="8" w:space="0" w:color="50D691" w:themeColor="accent5"/>
          <w:right w:val="single" w:sz="8" w:space="0" w:color="50D691" w:themeColor="accent5"/>
        </w:tcBorders>
      </w:tcPr>
    </w:tblStylePr>
    <w:tblStylePr w:type="firstCol">
      <w:rPr>
        <w:b/>
        <w:bCs/>
      </w:rPr>
    </w:tblStylePr>
    <w:tblStylePr w:type="lastCol">
      <w:rPr>
        <w:b/>
        <w:bCs/>
      </w:rPr>
    </w:tblStylePr>
    <w:tblStylePr w:type="band1Vert">
      <w:tblPr/>
      <w:tcPr>
        <w:tcBorders>
          <w:top w:val="single" w:sz="8" w:space="0" w:color="50D691" w:themeColor="accent5"/>
          <w:left w:val="single" w:sz="8" w:space="0" w:color="50D691" w:themeColor="accent5"/>
          <w:bottom w:val="single" w:sz="8" w:space="0" w:color="50D691" w:themeColor="accent5"/>
          <w:right w:val="single" w:sz="8" w:space="0" w:color="50D691" w:themeColor="accent5"/>
        </w:tcBorders>
      </w:tcPr>
    </w:tblStylePr>
    <w:tblStylePr w:type="band1Horz">
      <w:tblPr/>
      <w:tcPr>
        <w:tcBorders>
          <w:top w:val="single" w:sz="8" w:space="0" w:color="50D691" w:themeColor="accent5"/>
          <w:left w:val="single" w:sz="8" w:space="0" w:color="50D691" w:themeColor="accent5"/>
          <w:bottom w:val="single" w:sz="8" w:space="0" w:color="50D691" w:themeColor="accent5"/>
          <w:right w:val="single" w:sz="8" w:space="0" w:color="50D691" w:themeColor="accent5"/>
        </w:tcBorders>
      </w:tcPr>
    </w:tblStylePr>
  </w:style>
  <w:style w:type="table" w:styleId="Lysliste-fremhvningsfarve6">
    <w:name w:val="Light List Accent 6"/>
    <w:basedOn w:val="Tabel-Normal"/>
    <w:uiPriority w:val="61"/>
    <w:semiHidden/>
    <w:unhideWhenUsed/>
    <w:rsid w:val="00BC594D"/>
    <w:pPr>
      <w:spacing w:line="240" w:lineRule="auto"/>
    </w:pPr>
    <w:tblPr>
      <w:tblStyleRowBandSize w:val="1"/>
      <w:tblStyleColBandSize w:val="1"/>
      <w:tblBorders>
        <w:top w:val="single" w:sz="8" w:space="0" w:color="EFCF00" w:themeColor="accent6"/>
        <w:left w:val="single" w:sz="8" w:space="0" w:color="EFCF00" w:themeColor="accent6"/>
        <w:bottom w:val="single" w:sz="8" w:space="0" w:color="EFCF00" w:themeColor="accent6"/>
        <w:right w:val="single" w:sz="8" w:space="0" w:color="EFCF00" w:themeColor="accent6"/>
      </w:tblBorders>
    </w:tblPr>
    <w:tblStylePr w:type="firstRow">
      <w:pPr>
        <w:spacing w:before="0" w:after="0" w:line="240" w:lineRule="auto"/>
      </w:pPr>
      <w:rPr>
        <w:b/>
        <w:bCs/>
        <w:color w:val="FFFFFF" w:themeColor="background1"/>
      </w:rPr>
      <w:tblPr/>
      <w:tcPr>
        <w:shd w:val="clear" w:color="auto" w:fill="EFCF00" w:themeFill="accent6"/>
      </w:tcPr>
    </w:tblStylePr>
    <w:tblStylePr w:type="lastRow">
      <w:pPr>
        <w:spacing w:before="0" w:after="0" w:line="240" w:lineRule="auto"/>
      </w:pPr>
      <w:rPr>
        <w:b/>
        <w:bCs/>
      </w:rPr>
      <w:tblPr/>
      <w:tcPr>
        <w:tcBorders>
          <w:top w:val="double" w:sz="6" w:space="0" w:color="EFCF00" w:themeColor="accent6"/>
          <w:left w:val="single" w:sz="8" w:space="0" w:color="EFCF00" w:themeColor="accent6"/>
          <w:bottom w:val="single" w:sz="8" w:space="0" w:color="EFCF00" w:themeColor="accent6"/>
          <w:right w:val="single" w:sz="8" w:space="0" w:color="EFCF00" w:themeColor="accent6"/>
        </w:tcBorders>
      </w:tcPr>
    </w:tblStylePr>
    <w:tblStylePr w:type="firstCol">
      <w:rPr>
        <w:b/>
        <w:bCs/>
      </w:rPr>
    </w:tblStylePr>
    <w:tblStylePr w:type="lastCol">
      <w:rPr>
        <w:b/>
        <w:bCs/>
      </w:rPr>
    </w:tblStylePr>
    <w:tblStylePr w:type="band1Vert">
      <w:tblPr/>
      <w:tcPr>
        <w:tcBorders>
          <w:top w:val="single" w:sz="8" w:space="0" w:color="EFCF00" w:themeColor="accent6"/>
          <w:left w:val="single" w:sz="8" w:space="0" w:color="EFCF00" w:themeColor="accent6"/>
          <w:bottom w:val="single" w:sz="8" w:space="0" w:color="EFCF00" w:themeColor="accent6"/>
          <w:right w:val="single" w:sz="8" w:space="0" w:color="EFCF00" w:themeColor="accent6"/>
        </w:tcBorders>
      </w:tcPr>
    </w:tblStylePr>
    <w:tblStylePr w:type="band1Horz">
      <w:tblPr/>
      <w:tcPr>
        <w:tcBorders>
          <w:top w:val="single" w:sz="8" w:space="0" w:color="EFCF00" w:themeColor="accent6"/>
          <w:left w:val="single" w:sz="8" w:space="0" w:color="EFCF00" w:themeColor="accent6"/>
          <w:bottom w:val="single" w:sz="8" w:space="0" w:color="EFCF00" w:themeColor="accent6"/>
          <w:right w:val="single" w:sz="8" w:space="0" w:color="EFCF00" w:themeColor="accent6"/>
        </w:tcBorders>
      </w:tcPr>
    </w:tblStylePr>
  </w:style>
  <w:style w:type="table" w:styleId="Lysskygge">
    <w:name w:val="Light Shading"/>
    <w:basedOn w:val="Tabel-Normal"/>
    <w:uiPriority w:val="60"/>
    <w:semiHidden/>
    <w:unhideWhenUsed/>
    <w:rsid w:val="00BC594D"/>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farve1">
    <w:name w:val="Light Shading Accent 1"/>
    <w:basedOn w:val="Tabel-Normal"/>
    <w:uiPriority w:val="60"/>
    <w:semiHidden/>
    <w:unhideWhenUsed/>
    <w:rsid w:val="00BC594D"/>
    <w:pPr>
      <w:spacing w:line="240" w:lineRule="auto"/>
    </w:pPr>
    <w:rPr>
      <w:color w:val="50666E" w:themeColor="accent1" w:themeShade="BF"/>
    </w:rPr>
    <w:tblPr>
      <w:tblStyleRowBandSize w:val="1"/>
      <w:tblStyleColBandSize w:val="1"/>
      <w:tblBorders>
        <w:top w:val="single" w:sz="8" w:space="0" w:color="6B8994" w:themeColor="accent1"/>
        <w:bottom w:val="single" w:sz="8" w:space="0" w:color="6B8994" w:themeColor="accent1"/>
      </w:tblBorders>
    </w:tblPr>
    <w:tblStylePr w:type="firstRow">
      <w:pPr>
        <w:spacing w:before="0" w:after="0" w:line="240" w:lineRule="auto"/>
      </w:pPr>
      <w:rPr>
        <w:b/>
        <w:bCs/>
      </w:rPr>
      <w:tblPr/>
      <w:tcPr>
        <w:tcBorders>
          <w:top w:val="single" w:sz="8" w:space="0" w:color="6B8994" w:themeColor="accent1"/>
          <w:left w:val="nil"/>
          <w:bottom w:val="single" w:sz="8" w:space="0" w:color="6B8994" w:themeColor="accent1"/>
          <w:right w:val="nil"/>
          <w:insideH w:val="nil"/>
          <w:insideV w:val="nil"/>
        </w:tcBorders>
      </w:tcPr>
    </w:tblStylePr>
    <w:tblStylePr w:type="lastRow">
      <w:pPr>
        <w:spacing w:before="0" w:after="0" w:line="240" w:lineRule="auto"/>
      </w:pPr>
      <w:rPr>
        <w:b/>
        <w:bCs/>
      </w:rPr>
      <w:tblPr/>
      <w:tcPr>
        <w:tcBorders>
          <w:top w:val="single" w:sz="8" w:space="0" w:color="6B8994" w:themeColor="accent1"/>
          <w:left w:val="nil"/>
          <w:bottom w:val="single" w:sz="8" w:space="0" w:color="6B899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1E4" w:themeFill="accent1" w:themeFillTint="3F"/>
      </w:tcPr>
    </w:tblStylePr>
    <w:tblStylePr w:type="band1Horz">
      <w:tblPr/>
      <w:tcPr>
        <w:tcBorders>
          <w:left w:val="nil"/>
          <w:right w:val="nil"/>
          <w:insideH w:val="nil"/>
          <w:insideV w:val="nil"/>
        </w:tcBorders>
        <w:shd w:val="clear" w:color="auto" w:fill="DAE1E4" w:themeFill="accent1" w:themeFillTint="3F"/>
      </w:tcPr>
    </w:tblStylePr>
  </w:style>
  <w:style w:type="table" w:styleId="Lysskygge-fremhvningsfarve2">
    <w:name w:val="Light Shading Accent 2"/>
    <w:basedOn w:val="Tabel-Normal"/>
    <w:uiPriority w:val="60"/>
    <w:semiHidden/>
    <w:unhideWhenUsed/>
    <w:rsid w:val="00BC594D"/>
    <w:pPr>
      <w:spacing w:line="240" w:lineRule="auto"/>
    </w:pPr>
    <w:rPr>
      <w:color w:val="004259" w:themeColor="accent2" w:themeShade="BF"/>
    </w:rPr>
    <w:tblPr>
      <w:tblStyleRowBandSize w:val="1"/>
      <w:tblStyleColBandSize w:val="1"/>
      <w:tblBorders>
        <w:top w:val="single" w:sz="8" w:space="0" w:color="005978" w:themeColor="accent2"/>
        <w:bottom w:val="single" w:sz="8" w:space="0" w:color="005978" w:themeColor="accent2"/>
      </w:tblBorders>
    </w:tblPr>
    <w:tblStylePr w:type="firstRow">
      <w:pPr>
        <w:spacing w:before="0" w:after="0" w:line="240" w:lineRule="auto"/>
      </w:pPr>
      <w:rPr>
        <w:b/>
        <w:bCs/>
      </w:rPr>
      <w:tblPr/>
      <w:tcPr>
        <w:tcBorders>
          <w:top w:val="single" w:sz="8" w:space="0" w:color="005978" w:themeColor="accent2"/>
          <w:left w:val="nil"/>
          <w:bottom w:val="single" w:sz="8" w:space="0" w:color="005978" w:themeColor="accent2"/>
          <w:right w:val="nil"/>
          <w:insideH w:val="nil"/>
          <w:insideV w:val="nil"/>
        </w:tcBorders>
      </w:tcPr>
    </w:tblStylePr>
    <w:tblStylePr w:type="lastRow">
      <w:pPr>
        <w:spacing w:before="0" w:after="0" w:line="240" w:lineRule="auto"/>
      </w:pPr>
      <w:rPr>
        <w:b/>
        <w:bCs/>
      </w:rPr>
      <w:tblPr/>
      <w:tcPr>
        <w:tcBorders>
          <w:top w:val="single" w:sz="8" w:space="0" w:color="005978" w:themeColor="accent2"/>
          <w:left w:val="nil"/>
          <w:bottom w:val="single" w:sz="8" w:space="0" w:color="00597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EE5FF" w:themeFill="accent2" w:themeFillTint="3F"/>
      </w:tcPr>
    </w:tblStylePr>
    <w:tblStylePr w:type="band1Horz">
      <w:tblPr/>
      <w:tcPr>
        <w:tcBorders>
          <w:left w:val="nil"/>
          <w:right w:val="nil"/>
          <w:insideH w:val="nil"/>
          <w:insideV w:val="nil"/>
        </w:tcBorders>
        <w:shd w:val="clear" w:color="auto" w:fill="9EE5FF" w:themeFill="accent2" w:themeFillTint="3F"/>
      </w:tcPr>
    </w:tblStylePr>
  </w:style>
  <w:style w:type="table" w:styleId="Lysskygge-fremhvningsfarve3">
    <w:name w:val="Light Shading Accent 3"/>
    <w:basedOn w:val="Tabel-Normal"/>
    <w:uiPriority w:val="60"/>
    <w:semiHidden/>
    <w:unhideWhenUsed/>
    <w:rsid w:val="00BC594D"/>
    <w:pPr>
      <w:spacing w:line="240" w:lineRule="auto"/>
    </w:pPr>
    <w:rPr>
      <w:color w:val="34B1E6" w:themeColor="accent3" w:themeShade="BF"/>
    </w:rPr>
    <w:tblPr>
      <w:tblStyleRowBandSize w:val="1"/>
      <w:tblStyleColBandSize w:val="1"/>
      <w:tblBorders>
        <w:top w:val="single" w:sz="8" w:space="0" w:color="8AD2F1" w:themeColor="accent3"/>
        <w:bottom w:val="single" w:sz="8" w:space="0" w:color="8AD2F1" w:themeColor="accent3"/>
      </w:tblBorders>
    </w:tblPr>
    <w:tblStylePr w:type="firstRow">
      <w:pPr>
        <w:spacing w:before="0" w:after="0" w:line="240" w:lineRule="auto"/>
      </w:pPr>
      <w:rPr>
        <w:b/>
        <w:bCs/>
      </w:rPr>
      <w:tblPr/>
      <w:tcPr>
        <w:tcBorders>
          <w:top w:val="single" w:sz="8" w:space="0" w:color="8AD2F1" w:themeColor="accent3"/>
          <w:left w:val="nil"/>
          <w:bottom w:val="single" w:sz="8" w:space="0" w:color="8AD2F1" w:themeColor="accent3"/>
          <w:right w:val="nil"/>
          <w:insideH w:val="nil"/>
          <w:insideV w:val="nil"/>
        </w:tcBorders>
      </w:tcPr>
    </w:tblStylePr>
    <w:tblStylePr w:type="lastRow">
      <w:pPr>
        <w:spacing w:before="0" w:after="0" w:line="240" w:lineRule="auto"/>
      </w:pPr>
      <w:rPr>
        <w:b/>
        <w:bCs/>
      </w:rPr>
      <w:tblPr/>
      <w:tcPr>
        <w:tcBorders>
          <w:top w:val="single" w:sz="8" w:space="0" w:color="8AD2F1" w:themeColor="accent3"/>
          <w:left w:val="nil"/>
          <w:bottom w:val="single" w:sz="8" w:space="0" w:color="8AD2F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3FB" w:themeFill="accent3" w:themeFillTint="3F"/>
      </w:tcPr>
    </w:tblStylePr>
    <w:tblStylePr w:type="band1Horz">
      <w:tblPr/>
      <w:tcPr>
        <w:tcBorders>
          <w:left w:val="nil"/>
          <w:right w:val="nil"/>
          <w:insideH w:val="nil"/>
          <w:insideV w:val="nil"/>
        </w:tcBorders>
        <w:shd w:val="clear" w:color="auto" w:fill="E1F3FB" w:themeFill="accent3" w:themeFillTint="3F"/>
      </w:tcPr>
    </w:tblStylePr>
  </w:style>
  <w:style w:type="table" w:styleId="Lysskygge-fremhvningsfarve4">
    <w:name w:val="Light Shading Accent 4"/>
    <w:basedOn w:val="Tabel-Normal"/>
    <w:uiPriority w:val="60"/>
    <w:semiHidden/>
    <w:unhideWhenUsed/>
    <w:rsid w:val="00BC594D"/>
    <w:pPr>
      <w:spacing w:line="240" w:lineRule="auto"/>
    </w:pPr>
    <w:rPr>
      <w:color w:val="FF740A" w:themeColor="accent4" w:themeShade="BF"/>
    </w:rPr>
    <w:tblPr>
      <w:tblStyleRowBandSize w:val="1"/>
      <w:tblStyleColBandSize w:val="1"/>
      <w:tblBorders>
        <w:top w:val="single" w:sz="8" w:space="0" w:color="FFA763" w:themeColor="accent4"/>
        <w:bottom w:val="single" w:sz="8" w:space="0" w:color="FFA763" w:themeColor="accent4"/>
      </w:tblBorders>
    </w:tblPr>
    <w:tblStylePr w:type="firstRow">
      <w:pPr>
        <w:spacing w:before="0" w:after="0" w:line="240" w:lineRule="auto"/>
      </w:pPr>
      <w:rPr>
        <w:b/>
        <w:bCs/>
      </w:rPr>
      <w:tblPr/>
      <w:tcPr>
        <w:tcBorders>
          <w:top w:val="single" w:sz="8" w:space="0" w:color="FFA763" w:themeColor="accent4"/>
          <w:left w:val="nil"/>
          <w:bottom w:val="single" w:sz="8" w:space="0" w:color="FFA763" w:themeColor="accent4"/>
          <w:right w:val="nil"/>
          <w:insideH w:val="nil"/>
          <w:insideV w:val="nil"/>
        </w:tcBorders>
      </w:tcPr>
    </w:tblStylePr>
    <w:tblStylePr w:type="lastRow">
      <w:pPr>
        <w:spacing w:before="0" w:after="0" w:line="240" w:lineRule="auto"/>
      </w:pPr>
      <w:rPr>
        <w:b/>
        <w:bCs/>
      </w:rPr>
      <w:tblPr/>
      <w:tcPr>
        <w:tcBorders>
          <w:top w:val="single" w:sz="8" w:space="0" w:color="FFA763" w:themeColor="accent4"/>
          <w:left w:val="nil"/>
          <w:bottom w:val="single" w:sz="8" w:space="0" w:color="FFA763"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9D8" w:themeFill="accent4" w:themeFillTint="3F"/>
      </w:tcPr>
    </w:tblStylePr>
    <w:tblStylePr w:type="band1Horz">
      <w:tblPr/>
      <w:tcPr>
        <w:tcBorders>
          <w:left w:val="nil"/>
          <w:right w:val="nil"/>
          <w:insideH w:val="nil"/>
          <w:insideV w:val="nil"/>
        </w:tcBorders>
        <w:shd w:val="clear" w:color="auto" w:fill="FFE9D8" w:themeFill="accent4" w:themeFillTint="3F"/>
      </w:tcPr>
    </w:tblStylePr>
  </w:style>
  <w:style w:type="table" w:styleId="Lysskygge-fremhvningsfarve5">
    <w:name w:val="Light Shading Accent 5"/>
    <w:basedOn w:val="Tabel-Normal"/>
    <w:uiPriority w:val="60"/>
    <w:semiHidden/>
    <w:unhideWhenUsed/>
    <w:rsid w:val="00BC594D"/>
    <w:pPr>
      <w:spacing w:line="240" w:lineRule="auto"/>
    </w:pPr>
    <w:rPr>
      <w:color w:val="29B26B" w:themeColor="accent5" w:themeShade="BF"/>
    </w:rPr>
    <w:tblPr>
      <w:tblStyleRowBandSize w:val="1"/>
      <w:tblStyleColBandSize w:val="1"/>
      <w:tblBorders>
        <w:top w:val="single" w:sz="8" w:space="0" w:color="50D691" w:themeColor="accent5"/>
        <w:bottom w:val="single" w:sz="8" w:space="0" w:color="50D691" w:themeColor="accent5"/>
      </w:tblBorders>
    </w:tblPr>
    <w:tblStylePr w:type="firstRow">
      <w:pPr>
        <w:spacing w:before="0" w:after="0" w:line="240" w:lineRule="auto"/>
      </w:pPr>
      <w:rPr>
        <w:b/>
        <w:bCs/>
      </w:rPr>
      <w:tblPr/>
      <w:tcPr>
        <w:tcBorders>
          <w:top w:val="single" w:sz="8" w:space="0" w:color="50D691" w:themeColor="accent5"/>
          <w:left w:val="nil"/>
          <w:bottom w:val="single" w:sz="8" w:space="0" w:color="50D691" w:themeColor="accent5"/>
          <w:right w:val="nil"/>
          <w:insideH w:val="nil"/>
          <w:insideV w:val="nil"/>
        </w:tcBorders>
      </w:tcPr>
    </w:tblStylePr>
    <w:tblStylePr w:type="lastRow">
      <w:pPr>
        <w:spacing w:before="0" w:after="0" w:line="240" w:lineRule="auto"/>
      </w:pPr>
      <w:rPr>
        <w:b/>
        <w:bCs/>
      </w:rPr>
      <w:tblPr/>
      <w:tcPr>
        <w:tcBorders>
          <w:top w:val="single" w:sz="8" w:space="0" w:color="50D691" w:themeColor="accent5"/>
          <w:left w:val="nil"/>
          <w:bottom w:val="single" w:sz="8" w:space="0" w:color="50D69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4E3" w:themeFill="accent5" w:themeFillTint="3F"/>
      </w:tcPr>
    </w:tblStylePr>
    <w:tblStylePr w:type="band1Horz">
      <w:tblPr/>
      <w:tcPr>
        <w:tcBorders>
          <w:left w:val="nil"/>
          <w:right w:val="nil"/>
          <w:insideH w:val="nil"/>
          <w:insideV w:val="nil"/>
        </w:tcBorders>
        <w:shd w:val="clear" w:color="auto" w:fill="D3F4E3" w:themeFill="accent5" w:themeFillTint="3F"/>
      </w:tcPr>
    </w:tblStylePr>
  </w:style>
  <w:style w:type="table" w:styleId="Lysskygge-fremhvningsfarve6">
    <w:name w:val="Light Shading Accent 6"/>
    <w:basedOn w:val="Tabel-Normal"/>
    <w:uiPriority w:val="60"/>
    <w:semiHidden/>
    <w:unhideWhenUsed/>
    <w:rsid w:val="00BC594D"/>
    <w:pPr>
      <w:spacing w:line="240" w:lineRule="auto"/>
    </w:pPr>
    <w:rPr>
      <w:color w:val="B39A00" w:themeColor="accent6" w:themeShade="BF"/>
    </w:rPr>
    <w:tblPr>
      <w:tblStyleRowBandSize w:val="1"/>
      <w:tblStyleColBandSize w:val="1"/>
      <w:tblBorders>
        <w:top w:val="single" w:sz="8" w:space="0" w:color="EFCF00" w:themeColor="accent6"/>
        <w:bottom w:val="single" w:sz="8" w:space="0" w:color="EFCF00" w:themeColor="accent6"/>
      </w:tblBorders>
    </w:tblPr>
    <w:tblStylePr w:type="firstRow">
      <w:pPr>
        <w:spacing w:before="0" w:after="0" w:line="240" w:lineRule="auto"/>
      </w:pPr>
      <w:rPr>
        <w:b/>
        <w:bCs/>
      </w:rPr>
      <w:tblPr/>
      <w:tcPr>
        <w:tcBorders>
          <w:top w:val="single" w:sz="8" w:space="0" w:color="EFCF00" w:themeColor="accent6"/>
          <w:left w:val="nil"/>
          <w:bottom w:val="single" w:sz="8" w:space="0" w:color="EFCF00" w:themeColor="accent6"/>
          <w:right w:val="nil"/>
          <w:insideH w:val="nil"/>
          <w:insideV w:val="nil"/>
        </w:tcBorders>
      </w:tcPr>
    </w:tblStylePr>
    <w:tblStylePr w:type="lastRow">
      <w:pPr>
        <w:spacing w:before="0" w:after="0" w:line="240" w:lineRule="auto"/>
      </w:pPr>
      <w:rPr>
        <w:b/>
        <w:bCs/>
      </w:rPr>
      <w:tblPr/>
      <w:tcPr>
        <w:tcBorders>
          <w:top w:val="single" w:sz="8" w:space="0" w:color="EFCF00" w:themeColor="accent6"/>
          <w:left w:val="nil"/>
          <w:bottom w:val="single" w:sz="8" w:space="0" w:color="EFCF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BC" w:themeFill="accent6" w:themeFillTint="3F"/>
      </w:tcPr>
    </w:tblStylePr>
    <w:tblStylePr w:type="band1Horz">
      <w:tblPr/>
      <w:tcPr>
        <w:tcBorders>
          <w:left w:val="nil"/>
          <w:right w:val="nil"/>
          <w:insideH w:val="nil"/>
          <w:insideV w:val="nil"/>
        </w:tcBorders>
        <w:shd w:val="clear" w:color="auto" w:fill="FFF5BC" w:themeFill="accent6" w:themeFillTint="3F"/>
      </w:tcPr>
    </w:tblStylePr>
  </w:style>
  <w:style w:type="character" w:styleId="Linjenummer">
    <w:name w:val="line number"/>
    <w:basedOn w:val="Standardskrifttypeiafsnit"/>
    <w:uiPriority w:val="99"/>
    <w:semiHidden/>
    <w:rsid w:val="00BC594D"/>
    <w:rPr>
      <w:lang w:val="da-DK"/>
    </w:rPr>
  </w:style>
  <w:style w:type="paragraph" w:styleId="Liste">
    <w:name w:val="List"/>
    <w:basedOn w:val="Normal"/>
    <w:uiPriority w:val="99"/>
    <w:semiHidden/>
    <w:rsid w:val="00BC594D"/>
    <w:pPr>
      <w:ind w:left="283" w:hanging="283"/>
      <w:contextualSpacing/>
    </w:pPr>
  </w:style>
  <w:style w:type="paragraph" w:styleId="Liste2">
    <w:name w:val="List 2"/>
    <w:basedOn w:val="Normal"/>
    <w:uiPriority w:val="99"/>
    <w:semiHidden/>
    <w:rsid w:val="00BC594D"/>
    <w:pPr>
      <w:ind w:left="566" w:hanging="283"/>
      <w:contextualSpacing/>
    </w:pPr>
  </w:style>
  <w:style w:type="paragraph" w:styleId="Liste3">
    <w:name w:val="List 3"/>
    <w:basedOn w:val="Normal"/>
    <w:uiPriority w:val="99"/>
    <w:semiHidden/>
    <w:rsid w:val="00BC594D"/>
    <w:pPr>
      <w:ind w:left="849" w:hanging="283"/>
      <w:contextualSpacing/>
    </w:pPr>
  </w:style>
  <w:style w:type="paragraph" w:styleId="Liste4">
    <w:name w:val="List 4"/>
    <w:basedOn w:val="Normal"/>
    <w:uiPriority w:val="99"/>
    <w:semiHidden/>
    <w:rsid w:val="00BC594D"/>
    <w:pPr>
      <w:ind w:left="1132" w:hanging="283"/>
      <w:contextualSpacing/>
    </w:pPr>
  </w:style>
  <w:style w:type="paragraph" w:styleId="Liste5">
    <w:name w:val="List 5"/>
    <w:basedOn w:val="Normal"/>
    <w:uiPriority w:val="99"/>
    <w:semiHidden/>
    <w:rsid w:val="00BC594D"/>
    <w:pPr>
      <w:ind w:left="1415" w:hanging="283"/>
      <w:contextualSpacing/>
    </w:pPr>
  </w:style>
  <w:style w:type="paragraph" w:styleId="Opstilling-forts">
    <w:name w:val="List Continue"/>
    <w:basedOn w:val="Normal"/>
    <w:uiPriority w:val="99"/>
    <w:semiHidden/>
    <w:rsid w:val="00BC594D"/>
    <w:pPr>
      <w:spacing w:after="120"/>
      <w:ind w:left="283"/>
      <w:contextualSpacing/>
    </w:pPr>
  </w:style>
  <w:style w:type="paragraph" w:styleId="Opstilling-forts2">
    <w:name w:val="List Continue 2"/>
    <w:basedOn w:val="Normal"/>
    <w:uiPriority w:val="99"/>
    <w:semiHidden/>
    <w:rsid w:val="00BC594D"/>
    <w:pPr>
      <w:spacing w:after="120"/>
      <w:ind w:left="566"/>
      <w:contextualSpacing/>
    </w:pPr>
  </w:style>
  <w:style w:type="paragraph" w:styleId="Opstilling-forts3">
    <w:name w:val="List Continue 3"/>
    <w:basedOn w:val="Normal"/>
    <w:uiPriority w:val="99"/>
    <w:semiHidden/>
    <w:rsid w:val="00BC594D"/>
    <w:pPr>
      <w:spacing w:after="120"/>
      <w:ind w:left="849"/>
      <w:contextualSpacing/>
    </w:pPr>
  </w:style>
  <w:style w:type="paragraph" w:styleId="Opstilling-forts4">
    <w:name w:val="List Continue 4"/>
    <w:basedOn w:val="Normal"/>
    <w:uiPriority w:val="99"/>
    <w:semiHidden/>
    <w:rsid w:val="00BC594D"/>
    <w:pPr>
      <w:spacing w:after="120"/>
      <w:ind w:left="1132"/>
      <w:contextualSpacing/>
    </w:pPr>
  </w:style>
  <w:style w:type="paragraph" w:styleId="Opstilling-forts5">
    <w:name w:val="List Continue 5"/>
    <w:basedOn w:val="Normal"/>
    <w:uiPriority w:val="99"/>
    <w:semiHidden/>
    <w:rsid w:val="00BC594D"/>
    <w:pPr>
      <w:spacing w:after="120"/>
      <w:ind w:left="1415"/>
      <w:contextualSpacing/>
    </w:pPr>
  </w:style>
  <w:style w:type="paragraph" w:styleId="Listeafsnit">
    <w:name w:val="List Paragraph"/>
    <w:basedOn w:val="Normal"/>
    <w:uiPriority w:val="34"/>
    <w:qFormat/>
    <w:rsid w:val="00BC594D"/>
    <w:pPr>
      <w:ind w:left="720"/>
      <w:contextualSpacing/>
    </w:pPr>
  </w:style>
  <w:style w:type="table" w:styleId="Listetabel1-lys">
    <w:name w:val="List Table 1 Light"/>
    <w:basedOn w:val="Tabel-Normal"/>
    <w:uiPriority w:val="46"/>
    <w:rsid w:val="00BC594D"/>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1-lys-farve1">
    <w:name w:val="List Table 1 Light Accent 1"/>
    <w:basedOn w:val="Tabel-Normal"/>
    <w:uiPriority w:val="46"/>
    <w:rsid w:val="00BC594D"/>
    <w:pPr>
      <w:spacing w:line="240" w:lineRule="auto"/>
    </w:pPr>
    <w:tblPr>
      <w:tblStyleRowBandSize w:val="1"/>
      <w:tblStyleColBandSize w:val="1"/>
    </w:tblPr>
    <w:tblStylePr w:type="firstRow">
      <w:rPr>
        <w:b/>
        <w:bCs/>
      </w:rPr>
      <w:tblPr/>
      <w:tcPr>
        <w:tcBorders>
          <w:bottom w:val="single" w:sz="4" w:space="0" w:color="A6B8BE" w:themeColor="accent1" w:themeTint="99"/>
        </w:tcBorders>
      </w:tcPr>
    </w:tblStylePr>
    <w:tblStylePr w:type="lastRow">
      <w:rPr>
        <w:b/>
        <w:bCs/>
      </w:rPr>
      <w:tblPr/>
      <w:tcPr>
        <w:tcBorders>
          <w:top w:val="single" w:sz="4" w:space="0" w:color="A6B8BE" w:themeColor="accent1" w:themeTint="99"/>
        </w:tcBorders>
      </w:tcPr>
    </w:tblStylePr>
    <w:tblStylePr w:type="firstCol">
      <w:rPr>
        <w:b/>
        <w:bCs/>
      </w:rPr>
    </w:tblStylePr>
    <w:tblStylePr w:type="lastCol">
      <w:rPr>
        <w:b/>
        <w:bCs/>
      </w:rPr>
    </w:tblStylePr>
    <w:tblStylePr w:type="band1Vert">
      <w:tblPr/>
      <w:tcPr>
        <w:shd w:val="clear" w:color="auto" w:fill="E1E7E9" w:themeFill="accent1" w:themeFillTint="33"/>
      </w:tcPr>
    </w:tblStylePr>
    <w:tblStylePr w:type="band1Horz">
      <w:tblPr/>
      <w:tcPr>
        <w:shd w:val="clear" w:color="auto" w:fill="E1E7E9" w:themeFill="accent1" w:themeFillTint="33"/>
      </w:tcPr>
    </w:tblStylePr>
  </w:style>
  <w:style w:type="table" w:styleId="Listetabel1-lys-farve2">
    <w:name w:val="List Table 1 Light Accent 2"/>
    <w:basedOn w:val="Tabel-Normal"/>
    <w:uiPriority w:val="46"/>
    <w:rsid w:val="00BC594D"/>
    <w:pPr>
      <w:spacing w:line="240" w:lineRule="auto"/>
    </w:pPr>
    <w:tblPr>
      <w:tblStyleRowBandSize w:val="1"/>
      <w:tblStyleColBandSize w:val="1"/>
    </w:tblPr>
    <w:tblStylePr w:type="firstRow">
      <w:rPr>
        <w:b/>
        <w:bCs/>
      </w:rPr>
      <w:tblPr/>
      <w:tcPr>
        <w:tcBorders>
          <w:bottom w:val="single" w:sz="4" w:space="0" w:color="15C2FF" w:themeColor="accent2" w:themeTint="99"/>
        </w:tcBorders>
      </w:tcPr>
    </w:tblStylePr>
    <w:tblStylePr w:type="lastRow">
      <w:rPr>
        <w:b/>
        <w:bCs/>
      </w:rPr>
      <w:tblPr/>
      <w:tcPr>
        <w:tcBorders>
          <w:top w:val="single" w:sz="4" w:space="0" w:color="15C2FF" w:themeColor="accent2" w:themeTint="99"/>
        </w:tcBorders>
      </w:tcPr>
    </w:tblStylePr>
    <w:tblStylePr w:type="firstCol">
      <w:rPr>
        <w:b/>
        <w:bCs/>
      </w:rPr>
    </w:tblStylePr>
    <w:tblStylePr w:type="lastCol">
      <w:rPr>
        <w:b/>
        <w:bCs/>
      </w:rPr>
    </w:tblStylePr>
    <w:tblStylePr w:type="band1Vert">
      <w:tblPr/>
      <w:tcPr>
        <w:shd w:val="clear" w:color="auto" w:fill="B1EAFF" w:themeFill="accent2" w:themeFillTint="33"/>
      </w:tcPr>
    </w:tblStylePr>
    <w:tblStylePr w:type="band1Horz">
      <w:tblPr/>
      <w:tcPr>
        <w:shd w:val="clear" w:color="auto" w:fill="B1EAFF" w:themeFill="accent2" w:themeFillTint="33"/>
      </w:tcPr>
    </w:tblStylePr>
  </w:style>
  <w:style w:type="table" w:styleId="Listetabel1-lys-farve3">
    <w:name w:val="List Table 1 Light Accent 3"/>
    <w:basedOn w:val="Tabel-Normal"/>
    <w:uiPriority w:val="46"/>
    <w:rsid w:val="00BC594D"/>
    <w:pPr>
      <w:spacing w:line="240" w:lineRule="auto"/>
    </w:pPr>
    <w:tblPr>
      <w:tblStyleRowBandSize w:val="1"/>
      <w:tblStyleColBandSize w:val="1"/>
    </w:tblPr>
    <w:tblStylePr w:type="firstRow">
      <w:rPr>
        <w:b/>
        <w:bCs/>
      </w:rPr>
      <w:tblPr/>
      <w:tcPr>
        <w:tcBorders>
          <w:bottom w:val="single" w:sz="4" w:space="0" w:color="B8E3F6" w:themeColor="accent3" w:themeTint="99"/>
        </w:tcBorders>
      </w:tcPr>
    </w:tblStylePr>
    <w:tblStylePr w:type="lastRow">
      <w:rPr>
        <w:b/>
        <w:bCs/>
      </w:rPr>
      <w:tblPr/>
      <w:tcPr>
        <w:tcBorders>
          <w:top w:val="single" w:sz="4" w:space="0" w:color="B8E3F6" w:themeColor="accent3" w:themeTint="99"/>
        </w:tcBorders>
      </w:tcPr>
    </w:tblStylePr>
    <w:tblStylePr w:type="firstCol">
      <w:rPr>
        <w:b/>
        <w:bCs/>
      </w:rPr>
    </w:tblStylePr>
    <w:tblStylePr w:type="lastCol">
      <w:rPr>
        <w:b/>
        <w:bCs/>
      </w:rPr>
    </w:tblStylePr>
    <w:tblStylePr w:type="band1Vert">
      <w:tblPr/>
      <w:tcPr>
        <w:shd w:val="clear" w:color="auto" w:fill="E7F5FC" w:themeFill="accent3" w:themeFillTint="33"/>
      </w:tcPr>
    </w:tblStylePr>
    <w:tblStylePr w:type="band1Horz">
      <w:tblPr/>
      <w:tcPr>
        <w:shd w:val="clear" w:color="auto" w:fill="E7F5FC" w:themeFill="accent3" w:themeFillTint="33"/>
      </w:tcPr>
    </w:tblStylePr>
  </w:style>
  <w:style w:type="table" w:styleId="Listetabel1-lys-farve4">
    <w:name w:val="List Table 1 Light Accent 4"/>
    <w:basedOn w:val="Tabel-Normal"/>
    <w:uiPriority w:val="46"/>
    <w:rsid w:val="00BC594D"/>
    <w:pPr>
      <w:spacing w:line="240" w:lineRule="auto"/>
    </w:pPr>
    <w:tblPr>
      <w:tblStyleRowBandSize w:val="1"/>
      <w:tblStyleColBandSize w:val="1"/>
    </w:tblPr>
    <w:tblStylePr w:type="firstRow">
      <w:rPr>
        <w:b/>
        <w:bCs/>
      </w:rPr>
      <w:tblPr/>
      <w:tcPr>
        <w:tcBorders>
          <w:bottom w:val="single" w:sz="4" w:space="0" w:color="FFCAA1" w:themeColor="accent4" w:themeTint="99"/>
        </w:tcBorders>
      </w:tcPr>
    </w:tblStylePr>
    <w:tblStylePr w:type="lastRow">
      <w:rPr>
        <w:b/>
        <w:bCs/>
      </w:rPr>
      <w:tblPr/>
      <w:tcPr>
        <w:tcBorders>
          <w:top w:val="single" w:sz="4" w:space="0" w:color="FFCAA1" w:themeColor="accent4" w:themeTint="99"/>
        </w:tcBorders>
      </w:tcPr>
    </w:tblStylePr>
    <w:tblStylePr w:type="firstCol">
      <w:rPr>
        <w:b/>
        <w:bCs/>
      </w:rPr>
    </w:tblStylePr>
    <w:tblStylePr w:type="lastCol">
      <w:rPr>
        <w:b/>
        <w:bCs/>
      </w:rPr>
    </w:tblStylePr>
    <w:tblStylePr w:type="band1Vert">
      <w:tblPr/>
      <w:tcPr>
        <w:shd w:val="clear" w:color="auto" w:fill="FFEDDF" w:themeFill="accent4" w:themeFillTint="33"/>
      </w:tcPr>
    </w:tblStylePr>
    <w:tblStylePr w:type="band1Horz">
      <w:tblPr/>
      <w:tcPr>
        <w:shd w:val="clear" w:color="auto" w:fill="FFEDDF" w:themeFill="accent4" w:themeFillTint="33"/>
      </w:tcPr>
    </w:tblStylePr>
  </w:style>
  <w:style w:type="table" w:styleId="Listetabel1-lys-farve5">
    <w:name w:val="List Table 1 Light Accent 5"/>
    <w:basedOn w:val="Tabel-Normal"/>
    <w:uiPriority w:val="46"/>
    <w:rsid w:val="00BC594D"/>
    <w:pPr>
      <w:spacing w:line="240" w:lineRule="auto"/>
    </w:pPr>
    <w:tblPr>
      <w:tblStyleRowBandSize w:val="1"/>
      <w:tblStyleColBandSize w:val="1"/>
    </w:tblPr>
    <w:tblStylePr w:type="firstRow">
      <w:rPr>
        <w:b/>
        <w:bCs/>
      </w:rPr>
      <w:tblPr/>
      <w:tcPr>
        <w:tcBorders>
          <w:bottom w:val="single" w:sz="4" w:space="0" w:color="95E6BC" w:themeColor="accent5" w:themeTint="99"/>
        </w:tcBorders>
      </w:tcPr>
    </w:tblStylePr>
    <w:tblStylePr w:type="lastRow">
      <w:rPr>
        <w:b/>
        <w:bCs/>
      </w:rPr>
      <w:tblPr/>
      <w:tcPr>
        <w:tcBorders>
          <w:top w:val="single" w:sz="4" w:space="0" w:color="95E6BC" w:themeColor="accent5" w:themeTint="99"/>
        </w:tcBorders>
      </w:tcPr>
    </w:tblStylePr>
    <w:tblStylePr w:type="firstCol">
      <w:rPr>
        <w:b/>
        <w:bCs/>
      </w:rPr>
    </w:tblStylePr>
    <w:tblStylePr w:type="lastCol">
      <w:rPr>
        <w:b/>
        <w:bCs/>
      </w:rPr>
    </w:tblStylePr>
    <w:tblStylePr w:type="band1Vert">
      <w:tblPr/>
      <w:tcPr>
        <w:shd w:val="clear" w:color="auto" w:fill="DBF6E8" w:themeFill="accent5" w:themeFillTint="33"/>
      </w:tcPr>
    </w:tblStylePr>
    <w:tblStylePr w:type="band1Horz">
      <w:tblPr/>
      <w:tcPr>
        <w:shd w:val="clear" w:color="auto" w:fill="DBF6E8" w:themeFill="accent5" w:themeFillTint="33"/>
      </w:tcPr>
    </w:tblStylePr>
  </w:style>
  <w:style w:type="table" w:styleId="Listetabel1-lys-farve6">
    <w:name w:val="List Table 1 Light Accent 6"/>
    <w:basedOn w:val="Tabel-Normal"/>
    <w:uiPriority w:val="46"/>
    <w:rsid w:val="00BC594D"/>
    <w:pPr>
      <w:spacing w:line="240" w:lineRule="auto"/>
    </w:pPr>
    <w:tblPr>
      <w:tblStyleRowBandSize w:val="1"/>
      <w:tblStyleColBandSize w:val="1"/>
    </w:tblPr>
    <w:tblStylePr w:type="firstRow">
      <w:rPr>
        <w:b/>
        <w:bCs/>
      </w:rPr>
      <w:tblPr/>
      <w:tcPr>
        <w:tcBorders>
          <w:bottom w:val="single" w:sz="4" w:space="0" w:color="FFE85C" w:themeColor="accent6" w:themeTint="99"/>
        </w:tcBorders>
      </w:tcPr>
    </w:tblStylePr>
    <w:tblStylePr w:type="lastRow">
      <w:rPr>
        <w:b/>
        <w:bCs/>
      </w:rPr>
      <w:tblPr/>
      <w:tcPr>
        <w:tcBorders>
          <w:top w:val="single" w:sz="4" w:space="0" w:color="FFE85C" w:themeColor="accent6" w:themeTint="99"/>
        </w:tcBorders>
      </w:tcPr>
    </w:tblStylePr>
    <w:tblStylePr w:type="firstCol">
      <w:rPr>
        <w:b/>
        <w:bCs/>
      </w:rPr>
    </w:tblStylePr>
    <w:tblStylePr w:type="lastCol">
      <w:rPr>
        <w:b/>
        <w:bCs/>
      </w:rPr>
    </w:tblStylePr>
    <w:tblStylePr w:type="band1Vert">
      <w:tblPr/>
      <w:tcPr>
        <w:shd w:val="clear" w:color="auto" w:fill="FFF7C8" w:themeFill="accent6" w:themeFillTint="33"/>
      </w:tcPr>
    </w:tblStylePr>
    <w:tblStylePr w:type="band1Horz">
      <w:tblPr/>
      <w:tcPr>
        <w:shd w:val="clear" w:color="auto" w:fill="FFF7C8" w:themeFill="accent6" w:themeFillTint="33"/>
      </w:tcPr>
    </w:tblStylePr>
  </w:style>
  <w:style w:type="table" w:styleId="Listetabel2">
    <w:name w:val="List Table 2"/>
    <w:basedOn w:val="Tabel-Normal"/>
    <w:uiPriority w:val="47"/>
    <w:rsid w:val="00BC594D"/>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2-farve1">
    <w:name w:val="List Table 2 Accent 1"/>
    <w:basedOn w:val="Tabel-Normal"/>
    <w:uiPriority w:val="47"/>
    <w:rsid w:val="00BC594D"/>
    <w:pPr>
      <w:spacing w:line="240" w:lineRule="auto"/>
    </w:pPr>
    <w:tblPr>
      <w:tblStyleRowBandSize w:val="1"/>
      <w:tblStyleColBandSize w:val="1"/>
      <w:tblBorders>
        <w:top w:val="single" w:sz="4" w:space="0" w:color="A6B8BE" w:themeColor="accent1" w:themeTint="99"/>
        <w:bottom w:val="single" w:sz="4" w:space="0" w:color="A6B8BE" w:themeColor="accent1" w:themeTint="99"/>
        <w:insideH w:val="single" w:sz="4" w:space="0" w:color="A6B8BE"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7E9" w:themeFill="accent1" w:themeFillTint="33"/>
      </w:tcPr>
    </w:tblStylePr>
    <w:tblStylePr w:type="band1Horz">
      <w:tblPr/>
      <w:tcPr>
        <w:shd w:val="clear" w:color="auto" w:fill="E1E7E9" w:themeFill="accent1" w:themeFillTint="33"/>
      </w:tcPr>
    </w:tblStylePr>
  </w:style>
  <w:style w:type="table" w:styleId="Listetabel2-farve2">
    <w:name w:val="List Table 2 Accent 2"/>
    <w:basedOn w:val="Tabel-Normal"/>
    <w:uiPriority w:val="47"/>
    <w:rsid w:val="00BC594D"/>
    <w:pPr>
      <w:spacing w:line="240" w:lineRule="auto"/>
    </w:pPr>
    <w:tblPr>
      <w:tblStyleRowBandSize w:val="1"/>
      <w:tblStyleColBandSize w:val="1"/>
      <w:tblBorders>
        <w:top w:val="single" w:sz="4" w:space="0" w:color="15C2FF" w:themeColor="accent2" w:themeTint="99"/>
        <w:bottom w:val="single" w:sz="4" w:space="0" w:color="15C2FF" w:themeColor="accent2" w:themeTint="99"/>
        <w:insideH w:val="single" w:sz="4" w:space="0" w:color="15C2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1EAFF" w:themeFill="accent2" w:themeFillTint="33"/>
      </w:tcPr>
    </w:tblStylePr>
    <w:tblStylePr w:type="band1Horz">
      <w:tblPr/>
      <w:tcPr>
        <w:shd w:val="clear" w:color="auto" w:fill="B1EAFF" w:themeFill="accent2" w:themeFillTint="33"/>
      </w:tcPr>
    </w:tblStylePr>
  </w:style>
  <w:style w:type="table" w:styleId="Listetabel2-farve3">
    <w:name w:val="List Table 2 Accent 3"/>
    <w:basedOn w:val="Tabel-Normal"/>
    <w:uiPriority w:val="47"/>
    <w:rsid w:val="00BC594D"/>
    <w:pPr>
      <w:spacing w:line="240" w:lineRule="auto"/>
    </w:pPr>
    <w:tblPr>
      <w:tblStyleRowBandSize w:val="1"/>
      <w:tblStyleColBandSize w:val="1"/>
      <w:tblBorders>
        <w:top w:val="single" w:sz="4" w:space="0" w:color="B8E3F6" w:themeColor="accent3" w:themeTint="99"/>
        <w:bottom w:val="single" w:sz="4" w:space="0" w:color="B8E3F6" w:themeColor="accent3" w:themeTint="99"/>
        <w:insideH w:val="single" w:sz="4" w:space="0" w:color="B8E3F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5FC" w:themeFill="accent3" w:themeFillTint="33"/>
      </w:tcPr>
    </w:tblStylePr>
    <w:tblStylePr w:type="band1Horz">
      <w:tblPr/>
      <w:tcPr>
        <w:shd w:val="clear" w:color="auto" w:fill="E7F5FC" w:themeFill="accent3" w:themeFillTint="33"/>
      </w:tcPr>
    </w:tblStylePr>
  </w:style>
  <w:style w:type="table" w:styleId="Listetabel2-farve4">
    <w:name w:val="List Table 2 Accent 4"/>
    <w:basedOn w:val="Tabel-Normal"/>
    <w:uiPriority w:val="47"/>
    <w:rsid w:val="00BC594D"/>
    <w:pPr>
      <w:spacing w:line="240" w:lineRule="auto"/>
    </w:pPr>
    <w:tblPr>
      <w:tblStyleRowBandSize w:val="1"/>
      <w:tblStyleColBandSize w:val="1"/>
      <w:tblBorders>
        <w:top w:val="single" w:sz="4" w:space="0" w:color="FFCAA1" w:themeColor="accent4" w:themeTint="99"/>
        <w:bottom w:val="single" w:sz="4" w:space="0" w:color="FFCAA1" w:themeColor="accent4" w:themeTint="99"/>
        <w:insideH w:val="single" w:sz="4" w:space="0" w:color="FFCAA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DDF" w:themeFill="accent4" w:themeFillTint="33"/>
      </w:tcPr>
    </w:tblStylePr>
    <w:tblStylePr w:type="band1Horz">
      <w:tblPr/>
      <w:tcPr>
        <w:shd w:val="clear" w:color="auto" w:fill="FFEDDF" w:themeFill="accent4" w:themeFillTint="33"/>
      </w:tcPr>
    </w:tblStylePr>
  </w:style>
  <w:style w:type="table" w:styleId="Listetabel2-farve5">
    <w:name w:val="List Table 2 Accent 5"/>
    <w:basedOn w:val="Tabel-Normal"/>
    <w:uiPriority w:val="47"/>
    <w:rsid w:val="00BC594D"/>
    <w:pPr>
      <w:spacing w:line="240" w:lineRule="auto"/>
    </w:pPr>
    <w:tblPr>
      <w:tblStyleRowBandSize w:val="1"/>
      <w:tblStyleColBandSize w:val="1"/>
      <w:tblBorders>
        <w:top w:val="single" w:sz="4" w:space="0" w:color="95E6BC" w:themeColor="accent5" w:themeTint="99"/>
        <w:bottom w:val="single" w:sz="4" w:space="0" w:color="95E6BC" w:themeColor="accent5" w:themeTint="99"/>
        <w:insideH w:val="single" w:sz="4" w:space="0" w:color="95E6B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F6E8" w:themeFill="accent5" w:themeFillTint="33"/>
      </w:tcPr>
    </w:tblStylePr>
    <w:tblStylePr w:type="band1Horz">
      <w:tblPr/>
      <w:tcPr>
        <w:shd w:val="clear" w:color="auto" w:fill="DBF6E8" w:themeFill="accent5" w:themeFillTint="33"/>
      </w:tcPr>
    </w:tblStylePr>
  </w:style>
  <w:style w:type="table" w:styleId="Listetabel2-farve6">
    <w:name w:val="List Table 2 Accent 6"/>
    <w:basedOn w:val="Tabel-Normal"/>
    <w:uiPriority w:val="47"/>
    <w:rsid w:val="00BC594D"/>
    <w:pPr>
      <w:spacing w:line="240" w:lineRule="auto"/>
    </w:pPr>
    <w:tblPr>
      <w:tblStyleRowBandSize w:val="1"/>
      <w:tblStyleColBandSize w:val="1"/>
      <w:tblBorders>
        <w:top w:val="single" w:sz="4" w:space="0" w:color="FFE85C" w:themeColor="accent6" w:themeTint="99"/>
        <w:bottom w:val="single" w:sz="4" w:space="0" w:color="FFE85C" w:themeColor="accent6" w:themeTint="99"/>
        <w:insideH w:val="single" w:sz="4" w:space="0" w:color="FFE85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7C8" w:themeFill="accent6" w:themeFillTint="33"/>
      </w:tcPr>
    </w:tblStylePr>
    <w:tblStylePr w:type="band1Horz">
      <w:tblPr/>
      <w:tcPr>
        <w:shd w:val="clear" w:color="auto" w:fill="FFF7C8" w:themeFill="accent6" w:themeFillTint="33"/>
      </w:tcPr>
    </w:tblStylePr>
  </w:style>
  <w:style w:type="table" w:styleId="Listetabel3">
    <w:name w:val="List Table 3"/>
    <w:basedOn w:val="Tabel-Normal"/>
    <w:uiPriority w:val="48"/>
    <w:rsid w:val="00BC594D"/>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3-farve1">
    <w:name w:val="List Table 3 Accent 1"/>
    <w:basedOn w:val="Tabel-Normal"/>
    <w:uiPriority w:val="48"/>
    <w:rsid w:val="00BC594D"/>
    <w:pPr>
      <w:spacing w:line="240" w:lineRule="auto"/>
    </w:pPr>
    <w:tblPr>
      <w:tblStyleRowBandSize w:val="1"/>
      <w:tblStyleColBandSize w:val="1"/>
      <w:tblBorders>
        <w:top w:val="single" w:sz="4" w:space="0" w:color="6B8994" w:themeColor="accent1"/>
        <w:left w:val="single" w:sz="4" w:space="0" w:color="6B8994" w:themeColor="accent1"/>
        <w:bottom w:val="single" w:sz="4" w:space="0" w:color="6B8994" w:themeColor="accent1"/>
        <w:right w:val="single" w:sz="4" w:space="0" w:color="6B8994" w:themeColor="accent1"/>
      </w:tblBorders>
    </w:tblPr>
    <w:tblStylePr w:type="firstRow">
      <w:rPr>
        <w:b/>
        <w:bCs/>
        <w:color w:val="FFFFFF" w:themeColor="background1"/>
      </w:rPr>
      <w:tblPr/>
      <w:tcPr>
        <w:shd w:val="clear" w:color="auto" w:fill="6B8994" w:themeFill="accent1"/>
      </w:tcPr>
    </w:tblStylePr>
    <w:tblStylePr w:type="lastRow">
      <w:rPr>
        <w:b/>
        <w:bCs/>
      </w:rPr>
      <w:tblPr/>
      <w:tcPr>
        <w:tcBorders>
          <w:top w:val="double" w:sz="4" w:space="0" w:color="6B899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B8994" w:themeColor="accent1"/>
          <w:right w:val="single" w:sz="4" w:space="0" w:color="6B8994" w:themeColor="accent1"/>
        </w:tcBorders>
      </w:tcPr>
    </w:tblStylePr>
    <w:tblStylePr w:type="band1Horz">
      <w:tblPr/>
      <w:tcPr>
        <w:tcBorders>
          <w:top w:val="single" w:sz="4" w:space="0" w:color="6B8994" w:themeColor="accent1"/>
          <w:bottom w:val="single" w:sz="4" w:space="0" w:color="6B899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B8994" w:themeColor="accent1"/>
          <w:left w:val="nil"/>
        </w:tcBorders>
      </w:tcPr>
    </w:tblStylePr>
    <w:tblStylePr w:type="swCell">
      <w:tblPr/>
      <w:tcPr>
        <w:tcBorders>
          <w:top w:val="double" w:sz="4" w:space="0" w:color="6B8994" w:themeColor="accent1"/>
          <w:right w:val="nil"/>
        </w:tcBorders>
      </w:tcPr>
    </w:tblStylePr>
  </w:style>
  <w:style w:type="table" w:styleId="Listetabel3-farve2">
    <w:name w:val="List Table 3 Accent 2"/>
    <w:basedOn w:val="Tabel-Normal"/>
    <w:uiPriority w:val="48"/>
    <w:rsid w:val="00BC594D"/>
    <w:pPr>
      <w:spacing w:line="240" w:lineRule="auto"/>
    </w:pPr>
    <w:tblPr>
      <w:tblStyleRowBandSize w:val="1"/>
      <w:tblStyleColBandSize w:val="1"/>
      <w:tblBorders>
        <w:top w:val="single" w:sz="4" w:space="0" w:color="005978" w:themeColor="accent2"/>
        <w:left w:val="single" w:sz="4" w:space="0" w:color="005978" w:themeColor="accent2"/>
        <w:bottom w:val="single" w:sz="4" w:space="0" w:color="005978" w:themeColor="accent2"/>
        <w:right w:val="single" w:sz="4" w:space="0" w:color="005978" w:themeColor="accent2"/>
      </w:tblBorders>
    </w:tblPr>
    <w:tblStylePr w:type="firstRow">
      <w:rPr>
        <w:b/>
        <w:bCs/>
        <w:color w:val="FFFFFF" w:themeColor="background1"/>
      </w:rPr>
      <w:tblPr/>
      <w:tcPr>
        <w:shd w:val="clear" w:color="auto" w:fill="005978" w:themeFill="accent2"/>
      </w:tcPr>
    </w:tblStylePr>
    <w:tblStylePr w:type="lastRow">
      <w:rPr>
        <w:b/>
        <w:bCs/>
      </w:rPr>
      <w:tblPr/>
      <w:tcPr>
        <w:tcBorders>
          <w:top w:val="double" w:sz="4" w:space="0" w:color="00597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978" w:themeColor="accent2"/>
          <w:right w:val="single" w:sz="4" w:space="0" w:color="005978" w:themeColor="accent2"/>
        </w:tcBorders>
      </w:tcPr>
    </w:tblStylePr>
    <w:tblStylePr w:type="band1Horz">
      <w:tblPr/>
      <w:tcPr>
        <w:tcBorders>
          <w:top w:val="single" w:sz="4" w:space="0" w:color="005978" w:themeColor="accent2"/>
          <w:bottom w:val="single" w:sz="4" w:space="0" w:color="00597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978" w:themeColor="accent2"/>
          <w:left w:val="nil"/>
        </w:tcBorders>
      </w:tcPr>
    </w:tblStylePr>
    <w:tblStylePr w:type="swCell">
      <w:tblPr/>
      <w:tcPr>
        <w:tcBorders>
          <w:top w:val="double" w:sz="4" w:space="0" w:color="005978" w:themeColor="accent2"/>
          <w:right w:val="nil"/>
        </w:tcBorders>
      </w:tcPr>
    </w:tblStylePr>
  </w:style>
  <w:style w:type="table" w:styleId="Listetabel3-farve3">
    <w:name w:val="List Table 3 Accent 3"/>
    <w:basedOn w:val="Tabel-Normal"/>
    <w:uiPriority w:val="48"/>
    <w:rsid w:val="00BC594D"/>
    <w:pPr>
      <w:spacing w:line="240" w:lineRule="auto"/>
    </w:pPr>
    <w:tblPr>
      <w:tblStyleRowBandSize w:val="1"/>
      <w:tblStyleColBandSize w:val="1"/>
      <w:tblBorders>
        <w:top w:val="single" w:sz="4" w:space="0" w:color="8AD2F1" w:themeColor="accent3"/>
        <w:left w:val="single" w:sz="4" w:space="0" w:color="8AD2F1" w:themeColor="accent3"/>
        <w:bottom w:val="single" w:sz="4" w:space="0" w:color="8AD2F1" w:themeColor="accent3"/>
        <w:right w:val="single" w:sz="4" w:space="0" w:color="8AD2F1" w:themeColor="accent3"/>
      </w:tblBorders>
    </w:tblPr>
    <w:tblStylePr w:type="firstRow">
      <w:rPr>
        <w:b/>
        <w:bCs/>
        <w:color w:val="FFFFFF" w:themeColor="background1"/>
      </w:rPr>
      <w:tblPr/>
      <w:tcPr>
        <w:shd w:val="clear" w:color="auto" w:fill="8AD2F1" w:themeFill="accent3"/>
      </w:tcPr>
    </w:tblStylePr>
    <w:tblStylePr w:type="lastRow">
      <w:rPr>
        <w:b/>
        <w:bCs/>
      </w:rPr>
      <w:tblPr/>
      <w:tcPr>
        <w:tcBorders>
          <w:top w:val="double" w:sz="4" w:space="0" w:color="8AD2F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AD2F1" w:themeColor="accent3"/>
          <w:right w:val="single" w:sz="4" w:space="0" w:color="8AD2F1" w:themeColor="accent3"/>
        </w:tcBorders>
      </w:tcPr>
    </w:tblStylePr>
    <w:tblStylePr w:type="band1Horz">
      <w:tblPr/>
      <w:tcPr>
        <w:tcBorders>
          <w:top w:val="single" w:sz="4" w:space="0" w:color="8AD2F1" w:themeColor="accent3"/>
          <w:bottom w:val="single" w:sz="4" w:space="0" w:color="8AD2F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AD2F1" w:themeColor="accent3"/>
          <w:left w:val="nil"/>
        </w:tcBorders>
      </w:tcPr>
    </w:tblStylePr>
    <w:tblStylePr w:type="swCell">
      <w:tblPr/>
      <w:tcPr>
        <w:tcBorders>
          <w:top w:val="double" w:sz="4" w:space="0" w:color="8AD2F1" w:themeColor="accent3"/>
          <w:right w:val="nil"/>
        </w:tcBorders>
      </w:tcPr>
    </w:tblStylePr>
  </w:style>
  <w:style w:type="table" w:styleId="Listetabel3-farve4">
    <w:name w:val="List Table 3 Accent 4"/>
    <w:basedOn w:val="Tabel-Normal"/>
    <w:uiPriority w:val="48"/>
    <w:rsid w:val="00BC594D"/>
    <w:pPr>
      <w:spacing w:line="240" w:lineRule="auto"/>
    </w:pPr>
    <w:tblPr>
      <w:tblStyleRowBandSize w:val="1"/>
      <w:tblStyleColBandSize w:val="1"/>
      <w:tblBorders>
        <w:top w:val="single" w:sz="4" w:space="0" w:color="FFA763" w:themeColor="accent4"/>
        <w:left w:val="single" w:sz="4" w:space="0" w:color="FFA763" w:themeColor="accent4"/>
        <w:bottom w:val="single" w:sz="4" w:space="0" w:color="FFA763" w:themeColor="accent4"/>
        <w:right w:val="single" w:sz="4" w:space="0" w:color="FFA763" w:themeColor="accent4"/>
      </w:tblBorders>
    </w:tblPr>
    <w:tblStylePr w:type="firstRow">
      <w:rPr>
        <w:b/>
        <w:bCs/>
        <w:color w:val="FFFFFF" w:themeColor="background1"/>
      </w:rPr>
      <w:tblPr/>
      <w:tcPr>
        <w:shd w:val="clear" w:color="auto" w:fill="FFA763" w:themeFill="accent4"/>
      </w:tcPr>
    </w:tblStylePr>
    <w:tblStylePr w:type="lastRow">
      <w:rPr>
        <w:b/>
        <w:bCs/>
      </w:rPr>
      <w:tblPr/>
      <w:tcPr>
        <w:tcBorders>
          <w:top w:val="double" w:sz="4" w:space="0" w:color="FFA763"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A763" w:themeColor="accent4"/>
          <w:right w:val="single" w:sz="4" w:space="0" w:color="FFA763" w:themeColor="accent4"/>
        </w:tcBorders>
      </w:tcPr>
    </w:tblStylePr>
    <w:tblStylePr w:type="band1Horz">
      <w:tblPr/>
      <w:tcPr>
        <w:tcBorders>
          <w:top w:val="single" w:sz="4" w:space="0" w:color="FFA763" w:themeColor="accent4"/>
          <w:bottom w:val="single" w:sz="4" w:space="0" w:color="FFA763"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A763" w:themeColor="accent4"/>
          <w:left w:val="nil"/>
        </w:tcBorders>
      </w:tcPr>
    </w:tblStylePr>
    <w:tblStylePr w:type="swCell">
      <w:tblPr/>
      <w:tcPr>
        <w:tcBorders>
          <w:top w:val="double" w:sz="4" w:space="0" w:color="FFA763" w:themeColor="accent4"/>
          <w:right w:val="nil"/>
        </w:tcBorders>
      </w:tcPr>
    </w:tblStylePr>
  </w:style>
  <w:style w:type="table" w:styleId="Listetabel3-farve5">
    <w:name w:val="List Table 3 Accent 5"/>
    <w:basedOn w:val="Tabel-Normal"/>
    <w:uiPriority w:val="48"/>
    <w:rsid w:val="00BC594D"/>
    <w:pPr>
      <w:spacing w:line="240" w:lineRule="auto"/>
    </w:pPr>
    <w:tblPr>
      <w:tblStyleRowBandSize w:val="1"/>
      <w:tblStyleColBandSize w:val="1"/>
      <w:tblBorders>
        <w:top w:val="single" w:sz="4" w:space="0" w:color="50D691" w:themeColor="accent5"/>
        <w:left w:val="single" w:sz="4" w:space="0" w:color="50D691" w:themeColor="accent5"/>
        <w:bottom w:val="single" w:sz="4" w:space="0" w:color="50D691" w:themeColor="accent5"/>
        <w:right w:val="single" w:sz="4" w:space="0" w:color="50D691" w:themeColor="accent5"/>
      </w:tblBorders>
    </w:tblPr>
    <w:tblStylePr w:type="firstRow">
      <w:rPr>
        <w:b/>
        <w:bCs/>
        <w:color w:val="FFFFFF" w:themeColor="background1"/>
      </w:rPr>
      <w:tblPr/>
      <w:tcPr>
        <w:shd w:val="clear" w:color="auto" w:fill="50D691" w:themeFill="accent5"/>
      </w:tcPr>
    </w:tblStylePr>
    <w:tblStylePr w:type="lastRow">
      <w:rPr>
        <w:b/>
        <w:bCs/>
      </w:rPr>
      <w:tblPr/>
      <w:tcPr>
        <w:tcBorders>
          <w:top w:val="double" w:sz="4" w:space="0" w:color="50D69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D691" w:themeColor="accent5"/>
          <w:right w:val="single" w:sz="4" w:space="0" w:color="50D691" w:themeColor="accent5"/>
        </w:tcBorders>
      </w:tcPr>
    </w:tblStylePr>
    <w:tblStylePr w:type="band1Horz">
      <w:tblPr/>
      <w:tcPr>
        <w:tcBorders>
          <w:top w:val="single" w:sz="4" w:space="0" w:color="50D691" w:themeColor="accent5"/>
          <w:bottom w:val="single" w:sz="4" w:space="0" w:color="50D69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D691" w:themeColor="accent5"/>
          <w:left w:val="nil"/>
        </w:tcBorders>
      </w:tcPr>
    </w:tblStylePr>
    <w:tblStylePr w:type="swCell">
      <w:tblPr/>
      <w:tcPr>
        <w:tcBorders>
          <w:top w:val="double" w:sz="4" w:space="0" w:color="50D691" w:themeColor="accent5"/>
          <w:right w:val="nil"/>
        </w:tcBorders>
      </w:tcPr>
    </w:tblStylePr>
  </w:style>
  <w:style w:type="table" w:styleId="Listetabel3-farve6">
    <w:name w:val="List Table 3 Accent 6"/>
    <w:basedOn w:val="Tabel-Normal"/>
    <w:uiPriority w:val="48"/>
    <w:rsid w:val="00BC594D"/>
    <w:pPr>
      <w:spacing w:line="240" w:lineRule="auto"/>
    </w:pPr>
    <w:tblPr>
      <w:tblStyleRowBandSize w:val="1"/>
      <w:tblStyleColBandSize w:val="1"/>
      <w:tblBorders>
        <w:top w:val="single" w:sz="4" w:space="0" w:color="EFCF00" w:themeColor="accent6"/>
        <w:left w:val="single" w:sz="4" w:space="0" w:color="EFCF00" w:themeColor="accent6"/>
        <w:bottom w:val="single" w:sz="4" w:space="0" w:color="EFCF00" w:themeColor="accent6"/>
        <w:right w:val="single" w:sz="4" w:space="0" w:color="EFCF00" w:themeColor="accent6"/>
      </w:tblBorders>
    </w:tblPr>
    <w:tblStylePr w:type="firstRow">
      <w:rPr>
        <w:b/>
        <w:bCs/>
        <w:color w:val="FFFFFF" w:themeColor="background1"/>
      </w:rPr>
      <w:tblPr/>
      <w:tcPr>
        <w:shd w:val="clear" w:color="auto" w:fill="EFCF00" w:themeFill="accent6"/>
      </w:tcPr>
    </w:tblStylePr>
    <w:tblStylePr w:type="lastRow">
      <w:rPr>
        <w:b/>
        <w:bCs/>
      </w:rPr>
      <w:tblPr/>
      <w:tcPr>
        <w:tcBorders>
          <w:top w:val="double" w:sz="4" w:space="0" w:color="EFCF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FCF00" w:themeColor="accent6"/>
          <w:right w:val="single" w:sz="4" w:space="0" w:color="EFCF00" w:themeColor="accent6"/>
        </w:tcBorders>
      </w:tcPr>
    </w:tblStylePr>
    <w:tblStylePr w:type="band1Horz">
      <w:tblPr/>
      <w:tcPr>
        <w:tcBorders>
          <w:top w:val="single" w:sz="4" w:space="0" w:color="EFCF00" w:themeColor="accent6"/>
          <w:bottom w:val="single" w:sz="4" w:space="0" w:color="EFCF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FCF00" w:themeColor="accent6"/>
          <w:left w:val="nil"/>
        </w:tcBorders>
      </w:tcPr>
    </w:tblStylePr>
    <w:tblStylePr w:type="swCell">
      <w:tblPr/>
      <w:tcPr>
        <w:tcBorders>
          <w:top w:val="double" w:sz="4" w:space="0" w:color="EFCF00" w:themeColor="accent6"/>
          <w:right w:val="nil"/>
        </w:tcBorders>
      </w:tcPr>
    </w:tblStylePr>
  </w:style>
  <w:style w:type="table" w:styleId="Listetabel4">
    <w:name w:val="List Table 4"/>
    <w:basedOn w:val="Tabel-Normal"/>
    <w:uiPriority w:val="49"/>
    <w:rsid w:val="00BC594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4-farve1">
    <w:name w:val="List Table 4 Accent 1"/>
    <w:basedOn w:val="Tabel-Normal"/>
    <w:uiPriority w:val="49"/>
    <w:rsid w:val="00BC594D"/>
    <w:pPr>
      <w:spacing w:line="240" w:lineRule="auto"/>
    </w:pPr>
    <w:tblPr>
      <w:tblStyleRowBandSize w:val="1"/>
      <w:tblStyleColBandSize w:val="1"/>
      <w:tblBorders>
        <w:top w:val="single" w:sz="4" w:space="0" w:color="A6B8BE" w:themeColor="accent1" w:themeTint="99"/>
        <w:left w:val="single" w:sz="4" w:space="0" w:color="A6B8BE" w:themeColor="accent1" w:themeTint="99"/>
        <w:bottom w:val="single" w:sz="4" w:space="0" w:color="A6B8BE" w:themeColor="accent1" w:themeTint="99"/>
        <w:right w:val="single" w:sz="4" w:space="0" w:color="A6B8BE" w:themeColor="accent1" w:themeTint="99"/>
        <w:insideH w:val="single" w:sz="4" w:space="0" w:color="A6B8BE" w:themeColor="accent1" w:themeTint="99"/>
      </w:tblBorders>
    </w:tblPr>
    <w:tblStylePr w:type="firstRow">
      <w:rPr>
        <w:b/>
        <w:bCs/>
        <w:color w:val="FFFFFF" w:themeColor="background1"/>
      </w:rPr>
      <w:tblPr/>
      <w:tcPr>
        <w:tcBorders>
          <w:top w:val="single" w:sz="4" w:space="0" w:color="6B8994" w:themeColor="accent1"/>
          <w:left w:val="single" w:sz="4" w:space="0" w:color="6B8994" w:themeColor="accent1"/>
          <w:bottom w:val="single" w:sz="4" w:space="0" w:color="6B8994" w:themeColor="accent1"/>
          <w:right w:val="single" w:sz="4" w:space="0" w:color="6B8994" w:themeColor="accent1"/>
          <w:insideH w:val="nil"/>
        </w:tcBorders>
        <w:shd w:val="clear" w:color="auto" w:fill="6B8994" w:themeFill="accent1"/>
      </w:tcPr>
    </w:tblStylePr>
    <w:tblStylePr w:type="lastRow">
      <w:rPr>
        <w:b/>
        <w:bCs/>
      </w:rPr>
      <w:tblPr/>
      <w:tcPr>
        <w:tcBorders>
          <w:top w:val="double" w:sz="4" w:space="0" w:color="A6B8BE" w:themeColor="accent1" w:themeTint="99"/>
        </w:tcBorders>
      </w:tcPr>
    </w:tblStylePr>
    <w:tblStylePr w:type="firstCol">
      <w:rPr>
        <w:b/>
        <w:bCs/>
      </w:rPr>
    </w:tblStylePr>
    <w:tblStylePr w:type="lastCol">
      <w:rPr>
        <w:b/>
        <w:bCs/>
      </w:rPr>
    </w:tblStylePr>
    <w:tblStylePr w:type="band1Vert">
      <w:tblPr/>
      <w:tcPr>
        <w:shd w:val="clear" w:color="auto" w:fill="E1E7E9" w:themeFill="accent1" w:themeFillTint="33"/>
      </w:tcPr>
    </w:tblStylePr>
    <w:tblStylePr w:type="band1Horz">
      <w:tblPr/>
      <w:tcPr>
        <w:shd w:val="clear" w:color="auto" w:fill="E1E7E9" w:themeFill="accent1" w:themeFillTint="33"/>
      </w:tcPr>
    </w:tblStylePr>
  </w:style>
  <w:style w:type="table" w:styleId="Listetabel4-farve2">
    <w:name w:val="List Table 4 Accent 2"/>
    <w:basedOn w:val="Tabel-Normal"/>
    <w:uiPriority w:val="49"/>
    <w:rsid w:val="00BC594D"/>
    <w:pPr>
      <w:spacing w:line="240" w:lineRule="auto"/>
    </w:pPr>
    <w:tblPr>
      <w:tblStyleRowBandSize w:val="1"/>
      <w:tblStyleColBandSize w:val="1"/>
      <w:tblBorders>
        <w:top w:val="single" w:sz="4" w:space="0" w:color="15C2FF" w:themeColor="accent2" w:themeTint="99"/>
        <w:left w:val="single" w:sz="4" w:space="0" w:color="15C2FF" w:themeColor="accent2" w:themeTint="99"/>
        <w:bottom w:val="single" w:sz="4" w:space="0" w:color="15C2FF" w:themeColor="accent2" w:themeTint="99"/>
        <w:right w:val="single" w:sz="4" w:space="0" w:color="15C2FF" w:themeColor="accent2" w:themeTint="99"/>
        <w:insideH w:val="single" w:sz="4" w:space="0" w:color="15C2FF" w:themeColor="accent2" w:themeTint="99"/>
      </w:tblBorders>
    </w:tblPr>
    <w:tblStylePr w:type="firstRow">
      <w:rPr>
        <w:b/>
        <w:bCs/>
        <w:color w:val="FFFFFF" w:themeColor="background1"/>
      </w:rPr>
      <w:tblPr/>
      <w:tcPr>
        <w:tcBorders>
          <w:top w:val="single" w:sz="4" w:space="0" w:color="005978" w:themeColor="accent2"/>
          <w:left w:val="single" w:sz="4" w:space="0" w:color="005978" w:themeColor="accent2"/>
          <w:bottom w:val="single" w:sz="4" w:space="0" w:color="005978" w:themeColor="accent2"/>
          <w:right w:val="single" w:sz="4" w:space="0" w:color="005978" w:themeColor="accent2"/>
          <w:insideH w:val="nil"/>
        </w:tcBorders>
        <w:shd w:val="clear" w:color="auto" w:fill="005978" w:themeFill="accent2"/>
      </w:tcPr>
    </w:tblStylePr>
    <w:tblStylePr w:type="lastRow">
      <w:rPr>
        <w:b/>
        <w:bCs/>
      </w:rPr>
      <w:tblPr/>
      <w:tcPr>
        <w:tcBorders>
          <w:top w:val="double" w:sz="4" w:space="0" w:color="15C2FF" w:themeColor="accent2" w:themeTint="99"/>
        </w:tcBorders>
      </w:tcPr>
    </w:tblStylePr>
    <w:tblStylePr w:type="firstCol">
      <w:rPr>
        <w:b/>
        <w:bCs/>
      </w:rPr>
    </w:tblStylePr>
    <w:tblStylePr w:type="lastCol">
      <w:rPr>
        <w:b/>
        <w:bCs/>
      </w:rPr>
    </w:tblStylePr>
    <w:tblStylePr w:type="band1Vert">
      <w:tblPr/>
      <w:tcPr>
        <w:shd w:val="clear" w:color="auto" w:fill="B1EAFF" w:themeFill="accent2" w:themeFillTint="33"/>
      </w:tcPr>
    </w:tblStylePr>
    <w:tblStylePr w:type="band1Horz">
      <w:tblPr/>
      <w:tcPr>
        <w:shd w:val="clear" w:color="auto" w:fill="B1EAFF" w:themeFill="accent2" w:themeFillTint="33"/>
      </w:tcPr>
    </w:tblStylePr>
  </w:style>
  <w:style w:type="table" w:styleId="Listetabel4-farve3">
    <w:name w:val="List Table 4 Accent 3"/>
    <w:basedOn w:val="Tabel-Normal"/>
    <w:uiPriority w:val="49"/>
    <w:rsid w:val="00BC594D"/>
    <w:pPr>
      <w:spacing w:line="240" w:lineRule="auto"/>
    </w:pPr>
    <w:tblPr>
      <w:tblStyleRowBandSize w:val="1"/>
      <w:tblStyleColBandSize w:val="1"/>
      <w:tblBorders>
        <w:top w:val="single" w:sz="4" w:space="0" w:color="B8E3F6" w:themeColor="accent3" w:themeTint="99"/>
        <w:left w:val="single" w:sz="4" w:space="0" w:color="B8E3F6" w:themeColor="accent3" w:themeTint="99"/>
        <w:bottom w:val="single" w:sz="4" w:space="0" w:color="B8E3F6" w:themeColor="accent3" w:themeTint="99"/>
        <w:right w:val="single" w:sz="4" w:space="0" w:color="B8E3F6" w:themeColor="accent3" w:themeTint="99"/>
        <w:insideH w:val="single" w:sz="4" w:space="0" w:color="B8E3F6" w:themeColor="accent3" w:themeTint="99"/>
      </w:tblBorders>
    </w:tblPr>
    <w:tblStylePr w:type="firstRow">
      <w:rPr>
        <w:b/>
        <w:bCs/>
        <w:color w:val="FFFFFF" w:themeColor="background1"/>
      </w:rPr>
      <w:tblPr/>
      <w:tcPr>
        <w:tcBorders>
          <w:top w:val="single" w:sz="4" w:space="0" w:color="8AD2F1" w:themeColor="accent3"/>
          <w:left w:val="single" w:sz="4" w:space="0" w:color="8AD2F1" w:themeColor="accent3"/>
          <w:bottom w:val="single" w:sz="4" w:space="0" w:color="8AD2F1" w:themeColor="accent3"/>
          <w:right w:val="single" w:sz="4" w:space="0" w:color="8AD2F1" w:themeColor="accent3"/>
          <w:insideH w:val="nil"/>
        </w:tcBorders>
        <w:shd w:val="clear" w:color="auto" w:fill="8AD2F1" w:themeFill="accent3"/>
      </w:tcPr>
    </w:tblStylePr>
    <w:tblStylePr w:type="lastRow">
      <w:rPr>
        <w:b/>
        <w:bCs/>
      </w:rPr>
      <w:tblPr/>
      <w:tcPr>
        <w:tcBorders>
          <w:top w:val="double" w:sz="4" w:space="0" w:color="B8E3F6" w:themeColor="accent3" w:themeTint="99"/>
        </w:tcBorders>
      </w:tcPr>
    </w:tblStylePr>
    <w:tblStylePr w:type="firstCol">
      <w:rPr>
        <w:b/>
        <w:bCs/>
      </w:rPr>
    </w:tblStylePr>
    <w:tblStylePr w:type="lastCol">
      <w:rPr>
        <w:b/>
        <w:bCs/>
      </w:rPr>
    </w:tblStylePr>
    <w:tblStylePr w:type="band1Vert">
      <w:tblPr/>
      <w:tcPr>
        <w:shd w:val="clear" w:color="auto" w:fill="E7F5FC" w:themeFill="accent3" w:themeFillTint="33"/>
      </w:tcPr>
    </w:tblStylePr>
    <w:tblStylePr w:type="band1Horz">
      <w:tblPr/>
      <w:tcPr>
        <w:shd w:val="clear" w:color="auto" w:fill="E7F5FC" w:themeFill="accent3" w:themeFillTint="33"/>
      </w:tcPr>
    </w:tblStylePr>
  </w:style>
  <w:style w:type="table" w:styleId="Listetabel4-farve4">
    <w:name w:val="List Table 4 Accent 4"/>
    <w:basedOn w:val="Tabel-Normal"/>
    <w:uiPriority w:val="49"/>
    <w:rsid w:val="00BC594D"/>
    <w:pPr>
      <w:spacing w:line="240" w:lineRule="auto"/>
    </w:pPr>
    <w:tblPr>
      <w:tblStyleRowBandSize w:val="1"/>
      <w:tblStyleColBandSize w:val="1"/>
      <w:tblBorders>
        <w:top w:val="single" w:sz="4" w:space="0" w:color="FFCAA1" w:themeColor="accent4" w:themeTint="99"/>
        <w:left w:val="single" w:sz="4" w:space="0" w:color="FFCAA1" w:themeColor="accent4" w:themeTint="99"/>
        <w:bottom w:val="single" w:sz="4" w:space="0" w:color="FFCAA1" w:themeColor="accent4" w:themeTint="99"/>
        <w:right w:val="single" w:sz="4" w:space="0" w:color="FFCAA1" w:themeColor="accent4" w:themeTint="99"/>
        <w:insideH w:val="single" w:sz="4" w:space="0" w:color="FFCAA1" w:themeColor="accent4" w:themeTint="99"/>
      </w:tblBorders>
    </w:tblPr>
    <w:tblStylePr w:type="firstRow">
      <w:rPr>
        <w:b/>
        <w:bCs/>
        <w:color w:val="FFFFFF" w:themeColor="background1"/>
      </w:rPr>
      <w:tblPr/>
      <w:tcPr>
        <w:tcBorders>
          <w:top w:val="single" w:sz="4" w:space="0" w:color="FFA763" w:themeColor="accent4"/>
          <w:left w:val="single" w:sz="4" w:space="0" w:color="FFA763" w:themeColor="accent4"/>
          <w:bottom w:val="single" w:sz="4" w:space="0" w:color="FFA763" w:themeColor="accent4"/>
          <w:right w:val="single" w:sz="4" w:space="0" w:color="FFA763" w:themeColor="accent4"/>
          <w:insideH w:val="nil"/>
        </w:tcBorders>
        <w:shd w:val="clear" w:color="auto" w:fill="FFA763" w:themeFill="accent4"/>
      </w:tcPr>
    </w:tblStylePr>
    <w:tblStylePr w:type="lastRow">
      <w:rPr>
        <w:b/>
        <w:bCs/>
      </w:rPr>
      <w:tblPr/>
      <w:tcPr>
        <w:tcBorders>
          <w:top w:val="double" w:sz="4" w:space="0" w:color="FFCAA1" w:themeColor="accent4" w:themeTint="99"/>
        </w:tcBorders>
      </w:tcPr>
    </w:tblStylePr>
    <w:tblStylePr w:type="firstCol">
      <w:rPr>
        <w:b/>
        <w:bCs/>
      </w:rPr>
    </w:tblStylePr>
    <w:tblStylePr w:type="lastCol">
      <w:rPr>
        <w:b/>
        <w:bCs/>
      </w:rPr>
    </w:tblStylePr>
    <w:tblStylePr w:type="band1Vert">
      <w:tblPr/>
      <w:tcPr>
        <w:shd w:val="clear" w:color="auto" w:fill="FFEDDF" w:themeFill="accent4" w:themeFillTint="33"/>
      </w:tcPr>
    </w:tblStylePr>
    <w:tblStylePr w:type="band1Horz">
      <w:tblPr/>
      <w:tcPr>
        <w:shd w:val="clear" w:color="auto" w:fill="FFEDDF" w:themeFill="accent4" w:themeFillTint="33"/>
      </w:tcPr>
    </w:tblStylePr>
  </w:style>
  <w:style w:type="table" w:styleId="Listetabel4-farve5">
    <w:name w:val="List Table 4 Accent 5"/>
    <w:basedOn w:val="Tabel-Normal"/>
    <w:uiPriority w:val="49"/>
    <w:rsid w:val="00BC594D"/>
    <w:pPr>
      <w:spacing w:line="240" w:lineRule="auto"/>
    </w:pPr>
    <w:tblPr>
      <w:tblStyleRowBandSize w:val="1"/>
      <w:tblStyleColBandSize w:val="1"/>
      <w:tblBorders>
        <w:top w:val="single" w:sz="4" w:space="0" w:color="95E6BC" w:themeColor="accent5" w:themeTint="99"/>
        <w:left w:val="single" w:sz="4" w:space="0" w:color="95E6BC" w:themeColor="accent5" w:themeTint="99"/>
        <w:bottom w:val="single" w:sz="4" w:space="0" w:color="95E6BC" w:themeColor="accent5" w:themeTint="99"/>
        <w:right w:val="single" w:sz="4" w:space="0" w:color="95E6BC" w:themeColor="accent5" w:themeTint="99"/>
        <w:insideH w:val="single" w:sz="4" w:space="0" w:color="95E6BC" w:themeColor="accent5" w:themeTint="99"/>
      </w:tblBorders>
    </w:tblPr>
    <w:tblStylePr w:type="firstRow">
      <w:rPr>
        <w:b/>
        <w:bCs/>
        <w:color w:val="FFFFFF" w:themeColor="background1"/>
      </w:rPr>
      <w:tblPr/>
      <w:tcPr>
        <w:tcBorders>
          <w:top w:val="single" w:sz="4" w:space="0" w:color="50D691" w:themeColor="accent5"/>
          <w:left w:val="single" w:sz="4" w:space="0" w:color="50D691" w:themeColor="accent5"/>
          <w:bottom w:val="single" w:sz="4" w:space="0" w:color="50D691" w:themeColor="accent5"/>
          <w:right w:val="single" w:sz="4" w:space="0" w:color="50D691" w:themeColor="accent5"/>
          <w:insideH w:val="nil"/>
        </w:tcBorders>
        <w:shd w:val="clear" w:color="auto" w:fill="50D691" w:themeFill="accent5"/>
      </w:tcPr>
    </w:tblStylePr>
    <w:tblStylePr w:type="lastRow">
      <w:rPr>
        <w:b/>
        <w:bCs/>
      </w:rPr>
      <w:tblPr/>
      <w:tcPr>
        <w:tcBorders>
          <w:top w:val="double" w:sz="4" w:space="0" w:color="95E6BC" w:themeColor="accent5" w:themeTint="99"/>
        </w:tcBorders>
      </w:tcPr>
    </w:tblStylePr>
    <w:tblStylePr w:type="firstCol">
      <w:rPr>
        <w:b/>
        <w:bCs/>
      </w:rPr>
    </w:tblStylePr>
    <w:tblStylePr w:type="lastCol">
      <w:rPr>
        <w:b/>
        <w:bCs/>
      </w:rPr>
    </w:tblStylePr>
    <w:tblStylePr w:type="band1Vert">
      <w:tblPr/>
      <w:tcPr>
        <w:shd w:val="clear" w:color="auto" w:fill="DBF6E8" w:themeFill="accent5" w:themeFillTint="33"/>
      </w:tcPr>
    </w:tblStylePr>
    <w:tblStylePr w:type="band1Horz">
      <w:tblPr/>
      <w:tcPr>
        <w:shd w:val="clear" w:color="auto" w:fill="DBF6E8" w:themeFill="accent5" w:themeFillTint="33"/>
      </w:tcPr>
    </w:tblStylePr>
  </w:style>
  <w:style w:type="table" w:styleId="Listetabel4-farve6">
    <w:name w:val="List Table 4 Accent 6"/>
    <w:basedOn w:val="Tabel-Normal"/>
    <w:uiPriority w:val="49"/>
    <w:rsid w:val="00BC594D"/>
    <w:pPr>
      <w:spacing w:line="240" w:lineRule="auto"/>
    </w:pPr>
    <w:tblPr>
      <w:tblStyleRowBandSize w:val="1"/>
      <w:tblStyleColBandSize w:val="1"/>
      <w:tblBorders>
        <w:top w:val="single" w:sz="4" w:space="0" w:color="FFE85C" w:themeColor="accent6" w:themeTint="99"/>
        <w:left w:val="single" w:sz="4" w:space="0" w:color="FFE85C" w:themeColor="accent6" w:themeTint="99"/>
        <w:bottom w:val="single" w:sz="4" w:space="0" w:color="FFE85C" w:themeColor="accent6" w:themeTint="99"/>
        <w:right w:val="single" w:sz="4" w:space="0" w:color="FFE85C" w:themeColor="accent6" w:themeTint="99"/>
        <w:insideH w:val="single" w:sz="4" w:space="0" w:color="FFE85C" w:themeColor="accent6" w:themeTint="99"/>
      </w:tblBorders>
    </w:tblPr>
    <w:tblStylePr w:type="firstRow">
      <w:rPr>
        <w:b/>
        <w:bCs/>
        <w:color w:val="FFFFFF" w:themeColor="background1"/>
      </w:rPr>
      <w:tblPr/>
      <w:tcPr>
        <w:tcBorders>
          <w:top w:val="single" w:sz="4" w:space="0" w:color="EFCF00" w:themeColor="accent6"/>
          <w:left w:val="single" w:sz="4" w:space="0" w:color="EFCF00" w:themeColor="accent6"/>
          <w:bottom w:val="single" w:sz="4" w:space="0" w:color="EFCF00" w:themeColor="accent6"/>
          <w:right w:val="single" w:sz="4" w:space="0" w:color="EFCF00" w:themeColor="accent6"/>
          <w:insideH w:val="nil"/>
        </w:tcBorders>
        <w:shd w:val="clear" w:color="auto" w:fill="EFCF00" w:themeFill="accent6"/>
      </w:tcPr>
    </w:tblStylePr>
    <w:tblStylePr w:type="lastRow">
      <w:rPr>
        <w:b/>
        <w:bCs/>
      </w:rPr>
      <w:tblPr/>
      <w:tcPr>
        <w:tcBorders>
          <w:top w:val="double" w:sz="4" w:space="0" w:color="FFE85C" w:themeColor="accent6" w:themeTint="99"/>
        </w:tcBorders>
      </w:tcPr>
    </w:tblStylePr>
    <w:tblStylePr w:type="firstCol">
      <w:rPr>
        <w:b/>
        <w:bCs/>
      </w:rPr>
    </w:tblStylePr>
    <w:tblStylePr w:type="lastCol">
      <w:rPr>
        <w:b/>
        <w:bCs/>
      </w:rPr>
    </w:tblStylePr>
    <w:tblStylePr w:type="band1Vert">
      <w:tblPr/>
      <w:tcPr>
        <w:shd w:val="clear" w:color="auto" w:fill="FFF7C8" w:themeFill="accent6" w:themeFillTint="33"/>
      </w:tcPr>
    </w:tblStylePr>
    <w:tblStylePr w:type="band1Horz">
      <w:tblPr/>
      <w:tcPr>
        <w:shd w:val="clear" w:color="auto" w:fill="FFF7C8" w:themeFill="accent6" w:themeFillTint="33"/>
      </w:tcPr>
    </w:tblStylePr>
  </w:style>
  <w:style w:type="table" w:styleId="Listetabel5-mrk">
    <w:name w:val="List Table 5 Dark"/>
    <w:basedOn w:val="Tabel-Normal"/>
    <w:uiPriority w:val="50"/>
    <w:rsid w:val="00BC594D"/>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1">
    <w:name w:val="List Table 5 Dark Accent 1"/>
    <w:basedOn w:val="Tabel-Normal"/>
    <w:uiPriority w:val="50"/>
    <w:rsid w:val="00BC594D"/>
    <w:pPr>
      <w:spacing w:line="240" w:lineRule="auto"/>
    </w:pPr>
    <w:rPr>
      <w:color w:val="FFFFFF" w:themeColor="background1"/>
    </w:rPr>
    <w:tblPr>
      <w:tblStyleRowBandSize w:val="1"/>
      <w:tblStyleColBandSize w:val="1"/>
      <w:tblBorders>
        <w:top w:val="single" w:sz="24" w:space="0" w:color="6B8994" w:themeColor="accent1"/>
        <w:left w:val="single" w:sz="24" w:space="0" w:color="6B8994" w:themeColor="accent1"/>
        <w:bottom w:val="single" w:sz="24" w:space="0" w:color="6B8994" w:themeColor="accent1"/>
        <w:right w:val="single" w:sz="24" w:space="0" w:color="6B8994" w:themeColor="accent1"/>
      </w:tblBorders>
    </w:tblPr>
    <w:tcPr>
      <w:shd w:val="clear" w:color="auto" w:fill="6B899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2">
    <w:name w:val="List Table 5 Dark Accent 2"/>
    <w:basedOn w:val="Tabel-Normal"/>
    <w:uiPriority w:val="50"/>
    <w:rsid w:val="00BC594D"/>
    <w:pPr>
      <w:spacing w:line="240" w:lineRule="auto"/>
    </w:pPr>
    <w:rPr>
      <w:color w:val="FFFFFF" w:themeColor="background1"/>
    </w:rPr>
    <w:tblPr>
      <w:tblStyleRowBandSize w:val="1"/>
      <w:tblStyleColBandSize w:val="1"/>
      <w:tblBorders>
        <w:top w:val="single" w:sz="24" w:space="0" w:color="005978" w:themeColor="accent2"/>
        <w:left w:val="single" w:sz="24" w:space="0" w:color="005978" w:themeColor="accent2"/>
        <w:bottom w:val="single" w:sz="24" w:space="0" w:color="005978" w:themeColor="accent2"/>
        <w:right w:val="single" w:sz="24" w:space="0" w:color="005978" w:themeColor="accent2"/>
      </w:tblBorders>
    </w:tblPr>
    <w:tcPr>
      <w:shd w:val="clear" w:color="auto" w:fill="005978"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3">
    <w:name w:val="List Table 5 Dark Accent 3"/>
    <w:basedOn w:val="Tabel-Normal"/>
    <w:uiPriority w:val="50"/>
    <w:rsid w:val="00BC594D"/>
    <w:pPr>
      <w:spacing w:line="240" w:lineRule="auto"/>
    </w:pPr>
    <w:rPr>
      <w:color w:val="FFFFFF" w:themeColor="background1"/>
    </w:rPr>
    <w:tblPr>
      <w:tblStyleRowBandSize w:val="1"/>
      <w:tblStyleColBandSize w:val="1"/>
      <w:tblBorders>
        <w:top w:val="single" w:sz="24" w:space="0" w:color="8AD2F1" w:themeColor="accent3"/>
        <w:left w:val="single" w:sz="24" w:space="0" w:color="8AD2F1" w:themeColor="accent3"/>
        <w:bottom w:val="single" w:sz="24" w:space="0" w:color="8AD2F1" w:themeColor="accent3"/>
        <w:right w:val="single" w:sz="24" w:space="0" w:color="8AD2F1" w:themeColor="accent3"/>
      </w:tblBorders>
    </w:tblPr>
    <w:tcPr>
      <w:shd w:val="clear" w:color="auto" w:fill="8AD2F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4">
    <w:name w:val="List Table 5 Dark Accent 4"/>
    <w:basedOn w:val="Tabel-Normal"/>
    <w:uiPriority w:val="50"/>
    <w:rsid w:val="00BC594D"/>
    <w:pPr>
      <w:spacing w:line="240" w:lineRule="auto"/>
    </w:pPr>
    <w:rPr>
      <w:color w:val="FFFFFF" w:themeColor="background1"/>
    </w:rPr>
    <w:tblPr>
      <w:tblStyleRowBandSize w:val="1"/>
      <w:tblStyleColBandSize w:val="1"/>
      <w:tblBorders>
        <w:top w:val="single" w:sz="24" w:space="0" w:color="FFA763" w:themeColor="accent4"/>
        <w:left w:val="single" w:sz="24" w:space="0" w:color="FFA763" w:themeColor="accent4"/>
        <w:bottom w:val="single" w:sz="24" w:space="0" w:color="FFA763" w:themeColor="accent4"/>
        <w:right w:val="single" w:sz="24" w:space="0" w:color="FFA763" w:themeColor="accent4"/>
      </w:tblBorders>
    </w:tblPr>
    <w:tcPr>
      <w:shd w:val="clear" w:color="auto" w:fill="FFA763"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5">
    <w:name w:val="List Table 5 Dark Accent 5"/>
    <w:basedOn w:val="Tabel-Normal"/>
    <w:uiPriority w:val="50"/>
    <w:rsid w:val="00BC594D"/>
    <w:pPr>
      <w:spacing w:line="240" w:lineRule="auto"/>
    </w:pPr>
    <w:rPr>
      <w:color w:val="FFFFFF" w:themeColor="background1"/>
    </w:rPr>
    <w:tblPr>
      <w:tblStyleRowBandSize w:val="1"/>
      <w:tblStyleColBandSize w:val="1"/>
      <w:tblBorders>
        <w:top w:val="single" w:sz="24" w:space="0" w:color="50D691" w:themeColor="accent5"/>
        <w:left w:val="single" w:sz="24" w:space="0" w:color="50D691" w:themeColor="accent5"/>
        <w:bottom w:val="single" w:sz="24" w:space="0" w:color="50D691" w:themeColor="accent5"/>
        <w:right w:val="single" w:sz="24" w:space="0" w:color="50D691" w:themeColor="accent5"/>
      </w:tblBorders>
    </w:tblPr>
    <w:tcPr>
      <w:shd w:val="clear" w:color="auto" w:fill="50D69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5-mrk-farve6">
    <w:name w:val="List Table 5 Dark Accent 6"/>
    <w:basedOn w:val="Tabel-Normal"/>
    <w:uiPriority w:val="50"/>
    <w:rsid w:val="00BC594D"/>
    <w:pPr>
      <w:spacing w:line="240" w:lineRule="auto"/>
    </w:pPr>
    <w:rPr>
      <w:color w:val="FFFFFF" w:themeColor="background1"/>
    </w:rPr>
    <w:tblPr>
      <w:tblStyleRowBandSize w:val="1"/>
      <w:tblStyleColBandSize w:val="1"/>
      <w:tblBorders>
        <w:top w:val="single" w:sz="24" w:space="0" w:color="EFCF00" w:themeColor="accent6"/>
        <w:left w:val="single" w:sz="24" w:space="0" w:color="EFCF00" w:themeColor="accent6"/>
        <w:bottom w:val="single" w:sz="24" w:space="0" w:color="EFCF00" w:themeColor="accent6"/>
        <w:right w:val="single" w:sz="24" w:space="0" w:color="EFCF00" w:themeColor="accent6"/>
      </w:tblBorders>
    </w:tblPr>
    <w:tcPr>
      <w:shd w:val="clear" w:color="auto" w:fill="EFCF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6-farverig">
    <w:name w:val="List Table 6 Colorful"/>
    <w:basedOn w:val="Tabel-Normal"/>
    <w:uiPriority w:val="51"/>
    <w:rsid w:val="00BC594D"/>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6-farverig-farve1">
    <w:name w:val="List Table 6 Colorful Accent 1"/>
    <w:basedOn w:val="Tabel-Normal"/>
    <w:uiPriority w:val="51"/>
    <w:rsid w:val="00BC594D"/>
    <w:pPr>
      <w:spacing w:line="240" w:lineRule="auto"/>
    </w:pPr>
    <w:rPr>
      <w:color w:val="50666E" w:themeColor="accent1" w:themeShade="BF"/>
    </w:rPr>
    <w:tblPr>
      <w:tblStyleRowBandSize w:val="1"/>
      <w:tblStyleColBandSize w:val="1"/>
      <w:tblBorders>
        <w:top w:val="single" w:sz="4" w:space="0" w:color="6B8994" w:themeColor="accent1"/>
        <w:bottom w:val="single" w:sz="4" w:space="0" w:color="6B8994" w:themeColor="accent1"/>
      </w:tblBorders>
    </w:tblPr>
    <w:tblStylePr w:type="firstRow">
      <w:rPr>
        <w:b/>
        <w:bCs/>
      </w:rPr>
      <w:tblPr/>
      <w:tcPr>
        <w:tcBorders>
          <w:bottom w:val="single" w:sz="4" w:space="0" w:color="6B8994" w:themeColor="accent1"/>
        </w:tcBorders>
      </w:tcPr>
    </w:tblStylePr>
    <w:tblStylePr w:type="lastRow">
      <w:rPr>
        <w:b/>
        <w:bCs/>
      </w:rPr>
      <w:tblPr/>
      <w:tcPr>
        <w:tcBorders>
          <w:top w:val="double" w:sz="4" w:space="0" w:color="6B8994" w:themeColor="accent1"/>
        </w:tcBorders>
      </w:tcPr>
    </w:tblStylePr>
    <w:tblStylePr w:type="firstCol">
      <w:rPr>
        <w:b/>
        <w:bCs/>
      </w:rPr>
    </w:tblStylePr>
    <w:tblStylePr w:type="lastCol">
      <w:rPr>
        <w:b/>
        <w:bCs/>
      </w:rPr>
    </w:tblStylePr>
    <w:tblStylePr w:type="band1Vert">
      <w:tblPr/>
      <w:tcPr>
        <w:shd w:val="clear" w:color="auto" w:fill="E1E7E9" w:themeFill="accent1" w:themeFillTint="33"/>
      </w:tcPr>
    </w:tblStylePr>
    <w:tblStylePr w:type="band1Horz">
      <w:tblPr/>
      <w:tcPr>
        <w:shd w:val="clear" w:color="auto" w:fill="E1E7E9" w:themeFill="accent1" w:themeFillTint="33"/>
      </w:tcPr>
    </w:tblStylePr>
  </w:style>
  <w:style w:type="table" w:styleId="Listetabel6-farverig-farve2">
    <w:name w:val="List Table 6 Colorful Accent 2"/>
    <w:basedOn w:val="Tabel-Normal"/>
    <w:uiPriority w:val="51"/>
    <w:rsid w:val="00BC594D"/>
    <w:pPr>
      <w:spacing w:line="240" w:lineRule="auto"/>
    </w:pPr>
    <w:rPr>
      <w:color w:val="004259" w:themeColor="accent2" w:themeShade="BF"/>
    </w:rPr>
    <w:tblPr>
      <w:tblStyleRowBandSize w:val="1"/>
      <w:tblStyleColBandSize w:val="1"/>
      <w:tblBorders>
        <w:top w:val="single" w:sz="4" w:space="0" w:color="005978" w:themeColor="accent2"/>
        <w:bottom w:val="single" w:sz="4" w:space="0" w:color="005978" w:themeColor="accent2"/>
      </w:tblBorders>
    </w:tblPr>
    <w:tblStylePr w:type="firstRow">
      <w:rPr>
        <w:b/>
        <w:bCs/>
      </w:rPr>
      <w:tblPr/>
      <w:tcPr>
        <w:tcBorders>
          <w:bottom w:val="single" w:sz="4" w:space="0" w:color="005978" w:themeColor="accent2"/>
        </w:tcBorders>
      </w:tcPr>
    </w:tblStylePr>
    <w:tblStylePr w:type="lastRow">
      <w:rPr>
        <w:b/>
        <w:bCs/>
      </w:rPr>
      <w:tblPr/>
      <w:tcPr>
        <w:tcBorders>
          <w:top w:val="double" w:sz="4" w:space="0" w:color="005978" w:themeColor="accent2"/>
        </w:tcBorders>
      </w:tcPr>
    </w:tblStylePr>
    <w:tblStylePr w:type="firstCol">
      <w:rPr>
        <w:b/>
        <w:bCs/>
      </w:rPr>
    </w:tblStylePr>
    <w:tblStylePr w:type="lastCol">
      <w:rPr>
        <w:b/>
        <w:bCs/>
      </w:rPr>
    </w:tblStylePr>
    <w:tblStylePr w:type="band1Vert">
      <w:tblPr/>
      <w:tcPr>
        <w:shd w:val="clear" w:color="auto" w:fill="B1EAFF" w:themeFill="accent2" w:themeFillTint="33"/>
      </w:tcPr>
    </w:tblStylePr>
    <w:tblStylePr w:type="band1Horz">
      <w:tblPr/>
      <w:tcPr>
        <w:shd w:val="clear" w:color="auto" w:fill="B1EAFF" w:themeFill="accent2" w:themeFillTint="33"/>
      </w:tcPr>
    </w:tblStylePr>
  </w:style>
  <w:style w:type="table" w:styleId="Listetabel6-farverig-farve3">
    <w:name w:val="List Table 6 Colorful Accent 3"/>
    <w:basedOn w:val="Tabel-Normal"/>
    <w:uiPriority w:val="51"/>
    <w:rsid w:val="00BC594D"/>
    <w:pPr>
      <w:spacing w:line="240" w:lineRule="auto"/>
    </w:pPr>
    <w:rPr>
      <w:color w:val="34B1E6" w:themeColor="accent3" w:themeShade="BF"/>
    </w:rPr>
    <w:tblPr>
      <w:tblStyleRowBandSize w:val="1"/>
      <w:tblStyleColBandSize w:val="1"/>
      <w:tblBorders>
        <w:top w:val="single" w:sz="4" w:space="0" w:color="8AD2F1" w:themeColor="accent3"/>
        <w:bottom w:val="single" w:sz="4" w:space="0" w:color="8AD2F1" w:themeColor="accent3"/>
      </w:tblBorders>
    </w:tblPr>
    <w:tblStylePr w:type="firstRow">
      <w:rPr>
        <w:b/>
        <w:bCs/>
      </w:rPr>
      <w:tblPr/>
      <w:tcPr>
        <w:tcBorders>
          <w:bottom w:val="single" w:sz="4" w:space="0" w:color="8AD2F1" w:themeColor="accent3"/>
        </w:tcBorders>
      </w:tcPr>
    </w:tblStylePr>
    <w:tblStylePr w:type="lastRow">
      <w:rPr>
        <w:b/>
        <w:bCs/>
      </w:rPr>
      <w:tblPr/>
      <w:tcPr>
        <w:tcBorders>
          <w:top w:val="double" w:sz="4" w:space="0" w:color="8AD2F1" w:themeColor="accent3"/>
        </w:tcBorders>
      </w:tcPr>
    </w:tblStylePr>
    <w:tblStylePr w:type="firstCol">
      <w:rPr>
        <w:b/>
        <w:bCs/>
      </w:rPr>
    </w:tblStylePr>
    <w:tblStylePr w:type="lastCol">
      <w:rPr>
        <w:b/>
        <w:bCs/>
      </w:rPr>
    </w:tblStylePr>
    <w:tblStylePr w:type="band1Vert">
      <w:tblPr/>
      <w:tcPr>
        <w:shd w:val="clear" w:color="auto" w:fill="E7F5FC" w:themeFill="accent3" w:themeFillTint="33"/>
      </w:tcPr>
    </w:tblStylePr>
    <w:tblStylePr w:type="band1Horz">
      <w:tblPr/>
      <w:tcPr>
        <w:shd w:val="clear" w:color="auto" w:fill="E7F5FC" w:themeFill="accent3" w:themeFillTint="33"/>
      </w:tcPr>
    </w:tblStylePr>
  </w:style>
  <w:style w:type="table" w:styleId="Listetabel6-farverig-farve4">
    <w:name w:val="List Table 6 Colorful Accent 4"/>
    <w:basedOn w:val="Tabel-Normal"/>
    <w:uiPriority w:val="51"/>
    <w:rsid w:val="00BC594D"/>
    <w:pPr>
      <w:spacing w:line="240" w:lineRule="auto"/>
    </w:pPr>
    <w:rPr>
      <w:color w:val="FF740A" w:themeColor="accent4" w:themeShade="BF"/>
    </w:rPr>
    <w:tblPr>
      <w:tblStyleRowBandSize w:val="1"/>
      <w:tblStyleColBandSize w:val="1"/>
      <w:tblBorders>
        <w:top w:val="single" w:sz="4" w:space="0" w:color="FFA763" w:themeColor="accent4"/>
        <w:bottom w:val="single" w:sz="4" w:space="0" w:color="FFA763" w:themeColor="accent4"/>
      </w:tblBorders>
    </w:tblPr>
    <w:tblStylePr w:type="firstRow">
      <w:rPr>
        <w:b/>
        <w:bCs/>
      </w:rPr>
      <w:tblPr/>
      <w:tcPr>
        <w:tcBorders>
          <w:bottom w:val="single" w:sz="4" w:space="0" w:color="FFA763" w:themeColor="accent4"/>
        </w:tcBorders>
      </w:tcPr>
    </w:tblStylePr>
    <w:tblStylePr w:type="lastRow">
      <w:rPr>
        <w:b/>
        <w:bCs/>
      </w:rPr>
      <w:tblPr/>
      <w:tcPr>
        <w:tcBorders>
          <w:top w:val="double" w:sz="4" w:space="0" w:color="FFA763" w:themeColor="accent4"/>
        </w:tcBorders>
      </w:tcPr>
    </w:tblStylePr>
    <w:tblStylePr w:type="firstCol">
      <w:rPr>
        <w:b/>
        <w:bCs/>
      </w:rPr>
    </w:tblStylePr>
    <w:tblStylePr w:type="lastCol">
      <w:rPr>
        <w:b/>
        <w:bCs/>
      </w:rPr>
    </w:tblStylePr>
    <w:tblStylePr w:type="band1Vert">
      <w:tblPr/>
      <w:tcPr>
        <w:shd w:val="clear" w:color="auto" w:fill="FFEDDF" w:themeFill="accent4" w:themeFillTint="33"/>
      </w:tcPr>
    </w:tblStylePr>
    <w:tblStylePr w:type="band1Horz">
      <w:tblPr/>
      <w:tcPr>
        <w:shd w:val="clear" w:color="auto" w:fill="FFEDDF" w:themeFill="accent4" w:themeFillTint="33"/>
      </w:tcPr>
    </w:tblStylePr>
  </w:style>
  <w:style w:type="table" w:styleId="Listetabel6-farverig-farve5">
    <w:name w:val="List Table 6 Colorful Accent 5"/>
    <w:basedOn w:val="Tabel-Normal"/>
    <w:uiPriority w:val="51"/>
    <w:rsid w:val="00BC594D"/>
    <w:pPr>
      <w:spacing w:line="240" w:lineRule="auto"/>
    </w:pPr>
    <w:rPr>
      <w:color w:val="29B26B" w:themeColor="accent5" w:themeShade="BF"/>
    </w:rPr>
    <w:tblPr>
      <w:tblStyleRowBandSize w:val="1"/>
      <w:tblStyleColBandSize w:val="1"/>
      <w:tblBorders>
        <w:top w:val="single" w:sz="4" w:space="0" w:color="50D691" w:themeColor="accent5"/>
        <w:bottom w:val="single" w:sz="4" w:space="0" w:color="50D691" w:themeColor="accent5"/>
      </w:tblBorders>
    </w:tblPr>
    <w:tblStylePr w:type="firstRow">
      <w:rPr>
        <w:b/>
        <w:bCs/>
      </w:rPr>
      <w:tblPr/>
      <w:tcPr>
        <w:tcBorders>
          <w:bottom w:val="single" w:sz="4" w:space="0" w:color="50D691" w:themeColor="accent5"/>
        </w:tcBorders>
      </w:tcPr>
    </w:tblStylePr>
    <w:tblStylePr w:type="lastRow">
      <w:rPr>
        <w:b/>
        <w:bCs/>
      </w:rPr>
      <w:tblPr/>
      <w:tcPr>
        <w:tcBorders>
          <w:top w:val="double" w:sz="4" w:space="0" w:color="50D691" w:themeColor="accent5"/>
        </w:tcBorders>
      </w:tcPr>
    </w:tblStylePr>
    <w:tblStylePr w:type="firstCol">
      <w:rPr>
        <w:b/>
        <w:bCs/>
      </w:rPr>
    </w:tblStylePr>
    <w:tblStylePr w:type="lastCol">
      <w:rPr>
        <w:b/>
        <w:bCs/>
      </w:rPr>
    </w:tblStylePr>
    <w:tblStylePr w:type="band1Vert">
      <w:tblPr/>
      <w:tcPr>
        <w:shd w:val="clear" w:color="auto" w:fill="DBF6E8" w:themeFill="accent5" w:themeFillTint="33"/>
      </w:tcPr>
    </w:tblStylePr>
    <w:tblStylePr w:type="band1Horz">
      <w:tblPr/>
      <w:tcPr>
        <w:shd w:val="clear" w:color="auto" w:fill="DBF6E8" w:themeFill="accent5" w:themeFillTint="33"/>
      </w:tcPr>
    </w:tblStylePr>
  </w:style>
  <w:style w:type="table" w:styleId="Listetabel6-farverig-farve6">
    <w:name w:val="List Table 6 Colorful Accent 6"/>
    <w:basedOn w:val="Tabel-Normal"/>
    <w:uiPriority w:val="51"/>
    <w:rsid w:val="00BC594D"/>
    <w:pPr>
      <w:spacing w:line="240" w:lineRule="auto"/>
    </w:pPr>
    <w:rPr>
      <w:color w:val="B39A00" w:themeColor="accent6" w:themeShade="BF"/>
    </w:rPr>
    <w:tblPr>
      <w:tblStyleRowBandSize w:val="1"/>
      <w:tblStyleColBandSize w:val="1"/>
      <w:tblBorders>
        <w:top w:val="single" w:sz="4" w:space="0" w:color="EFCF00" w:themeColor="accent6"/>
        <w:bottom w:val="single" w:sz="4" w:space="0" w:color="EFCF00" w:themeColor="accent6"/>
      </w:tblBorders>
    </w:tblPr>
    <w:tblStylePr w:type="firstRow">
      <w:rPr>
        <w:b/>
        <w:bCs/>
      </w:rPr>
      <w:tblPr/>
      <w:tcPr>
        <w:tcBorders>
          <w:bottom w:val="single" w:sz="4" w:space="0" w:color="EFCF00" w:themeColor="accent6"/>
        </w:tcBorders>
      </w:tcPr>
    </w:tblStylePr>
    <w:tblStylePr w:type="lastRow">
      <w:rPr>
        <w:b/>
        <w:bCs/>
      </w:rPr>
      <w:tblPr/>
      <w:tcPr>
        <w:tcBorders>
          <w:top w:val="double" w:sz="4" w:space="0" w:color="EFCF00" w:themeColor="accent6"/>
        </w:tcBorders>
      </w:tcPr>
    </w:tblStylePr>
    <w:tblStylePr w:type="firstCol">
      <w:rPr>
        <w:b/>
        <w:bCs/>
      </w:rPr>
    </w:tblStylePr>
    <w:tblStylePr w:type="lastCol">
      <w:rPr>
        <w:b/>
        <w:bCs/>
      </w:rPr>
    </w:tblStylePr>
    <w:tblStylePr w:type="band1Vert">
      <w:tblPr/>
      <w:tcPr>
        <w:shd w:val="clear" w:color="auto" w:fill="FFF7C8" w:themeFill="accent6" w:themeFillTint="33"/>
      </w:tcPr>
    </w:tblStylePr>
    <w:tblStylePr w:type="band1Horz">
      <w:tblPr/>
      <w:tcPr>
        <w:shd w:val="clear" w:color="auto" w:fill="FFF7C8" w:themeFill="accent6" w:themeFillTint="33"/>
      </w:tcPr>
    </w:tblStylePr>
  </w:style>
  <w:style w:type="table" w:styleId="Listetabel7-farverig">
    <w:name w:val="List Table 7 Colorful"/>
    <w:basedOn w:val="Tabel-Normal"/>
    <w:uiPriority w:val="52"/>
    <w:rsid w:val="00BC594D"/>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1">
    <w:name w:val="List Table 7 Colorful Accent 1"/>
    <w:basedOn w:val="Tabel-Normal"/>
    <w:uiPriority w:val="52"/>
    <w:rsid w:val="00BC594D"/>
    <w:pPr>
      <w:spacing w:line="240" w:lineRule="auto"/>
    </w:pPr>
    <w:rPr>
      <w:color w:val="50666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B899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B899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B899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B8994" w:themeColor="accent1"/>
        </w:tcBorders>
        <w:shd w:val="clear" w:color="auto" w:fill="FFFFFF" w:themeFill="background1"/>
      </w:tcPr>
    </w:tblStylePr>
    <w:tblStylePr w:type="band1Vert">
      <w:tblPr/>
      <w:tcPr>
        <w:shd w:val="clear" w:color="auto" w:fill="E1E7E9" w:themeFill="accent1" w:themeFillTint="33"/>
      </w:tcPr>
    </w:tblStylePr>
    <w:tblStylePr w:type="band1Horz">
      <w:tblPr/>
      <w:tcPr>
        <w:shd w:val="clear" w:color="auto" w:fill="E1E7E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2">
    <w:name w:val="List Table 7 Colorful Accent 2"/>
    <w:basedOn w:val="Tabel-Normal"/>
    <w:uiPriority w:val="52"/>
    <w:rsid w:val="00BC594D"/>
    <w:pPr>
      <w:spacing w:line="240" w:lineRule="auto"/>
    </w:pPr>
    <w:rPr>
      <w:color w:val="004259"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978"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978"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978"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978" w:themeColor="accent2"/>
        </w:tcBorders>
        <w:shd w:val="clear" w:color="auto" w:fill="FFFFFF" w:themeFill="background1"/>
      </w:tcPr>
    </w:tblStylePr>
    <w:tblStylePr w:type="band1Vert">
      <w:tblPr/>
      <w:tcPr>
        <w:shd w:val="clear" w:color="auto" w:fill="B1EAFF" w:themeFill="accent2" w:themeFillTint="33"/>
      </w:tcPr>
    </w:tblStylePr>
    <w:tblStylePr w:type="band1Horz">
      <w:tblPr/>
      <w:tcPr>
        <w:shd w:val="clear" w:color="auto" w:fill="B1EA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3">
    <w:name w:val="List Table 7 Colorful Accent 3"/>
    <w:basedOn w:val="Tabel-Normal"/>
    <w:uiPriority w:val="52"/>
    <w:rsid w:val="00BC594D"/>
    <w:pPr>
      <w:spacing w:line="240" w:lineRule="auto"/>
    </w:pPr>
    <w:rPr>
      <w:color w:val="34B1E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AD2F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AD2F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AD2F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AD2F1" w:themeColor="accent3"/>
        </w:tcBorders>
        <w:shd w:val="clear" w:color="auto" w:fill="FFFFFF" w:themeFill="background1"/>
      </w:tcPr>
    </w:tblStylePr>
    <w:tblStylePr w:type="band1Vert">
      <w:tblPr/>
      <w:tcPr>
        <w:shd w:val="clear" w:color="auto" w:fill="E7F5FC" w:themeFill="accent3" w:themeFillTint="33"/>
      </w:tcPr>
    </w:tblStylePr>
    <w:tblStylePr w:type="band1Horz">
      <w:tblPr/>
      <w:tcPr>
        <w:shd w:val="clear" w:color="auto" w:fill="E7F5F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4">
    <w:name w:val="List Table 7 Colorful Accent 4"/>
    <w:basedOn w:val="Tabel-Normal"/>
    <w:uiPriority w:val="52"/>
    <w:rsid w:val="00BC594D"/>
    <w:pPr>
      <w:spacing w:line="240" w:lineRule="auto"/>
    </w:pPr>
    <w:rPr>
      <w:color w:val="FF740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A763"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A763"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A763"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A763" w:themeColor="accent4"/>
        </w:tcBorders>
        <w:shd w:val="clear" w:color="auto" w:fill="FFFFFF" w:themeFill="background1"/>
      </w:tcPr>
    </w:tblStylePr>
    <w:tblStylePr w:type="band1Vert">
      <w:tblPr/>
      <w:tcPr>
        <w:shd w:val="clear" w:color="auto" w:fill="FFEDDF" w:themeFill="accent4" w:themeFillTint="33"/>
      </w:tcPr>
    </w:tblStylePr>
    <w:tblStylePr w:type="band1Horz">
      <w:tblPr/>
      <w:tcPr>
        <w:shd w:val="clear" w:color="auto" w:fill="FFEDD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5">
    <w:name w:val="List Table 7 Colorful Accent 5"/>
    <w:basedOn w:val="Tabel-Normal"/>
    <w:uiPriority w:val="52"/>
    <w:rsid w:val="00BC594D"/>
    <w:pPr>
      <w:spacing w:line="240" w:lineRule="auto"/>
    </w:pPr>
    <w:rPr>
      <w:color w:val="29B26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D69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D69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D69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D691" w:themeColor="accent5"/>
        </w:tcBorders>
        <w:shd w:val="clear" w:color="auto" w:fill="FFFFFF" w:themeFill="background1"/>
      </w:tcPr>
    </w:tblStylePr>
    <w:tblStylePr w:type="band1Vert">
      <w:tblPr/>
      <w:tcPr>
        <w:shd w:val="clear" w:color="auto" w:fill="DBF6E8" w:themeFill="accent5" w:themeFillTint="33"/>
      </w:tcPr>
    </w:tblStylePr>
    <w:tblStylePr w:type="band1Horz">
      <w:tblPr/>
      <w:tcPr>
        <w:shd w:val="clear" w:color="auto" w:fill="DBF6E8"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7-farverig-farve6">
    <w:name w:val="List Table 7 Colorful Accent 6"/>
    <w:basedOn w:val="Tabel-Normal"/>
    <w:uiPriority w:val="52"/>
    <w:rsid w:val="00BC594D"/>
    <w:pPr>
      <w:spacing w:line="240" w:lineRule="auto"/>
    </w:pPr>
    <w:rPr>
      <w:color w:val="B39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CF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CF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CF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CF00" w:themeColor="accent6"/>
        </w:tcBorders>
        <w:shd w:val="clear" w:color="auto" w:fill="FFFFFF" w:themeFill="background1"/>
      </w:tcPr>
    </w:tblStylePr>
    <w:tblStylePr w:type="band1Vert">
      <w:tblPr/>
      <w:tcPr>
        <w:shd w:val="clear" w:color="auto" w:fill="FFF7C8" w:themeFill="accent6" w:themeFillTint="33"/>
      </w:tcPr>
    </w:tblStylePr>
    <w:tblStylePr w:type="band1Horz">
      <w:tblPr/>
      <w:tcPr>
        <w:shd w:val="clear" w:color="auto" w:fill="FFF7C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BC594D"/>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kstTegn">
    <w:name w:val="Makrotekst Tegn"/>
    <w:basedOn w:val="Standardskrifttypeiafsnit"/>
    <w:link w:val="Makrotekst"/>
    <w:uiPriority w:val="99"/>
    <w:semiHidden/>
    <w:rsid w:val="00BC594D"/>
    <w:rPr>
      <w:rFonts w:ascii="Consolas" w:hAnsi="Consolas"/>
      <w:lang w:val="da-DK"/>
    </w:rPr>
  </w:style>
  <w:style w:type="table" w:styleId="Mediumgitter1">
    <w:name w:val="Medium Grid 1"/>
    <w:basedOn w:val="Tabel-Normal"/>
    <w:uiPriority w:val="67"/>
    <w:semiHidden/>
    <w:unhideWhenUsed/>
    <w:rsid w:val="00BC594D"/>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itter1-fremhvningsfarve1">
    <w:name w:val="Medium Grid 1 Accent 1"/>
    <w:basedOn w:val="Tabel-Normal"/>
    <w:uiPriority w:val="67"/>
    <w:semiHidden/>
    <w:unhideWhenUsed/>
    <w:rsid w:val="00BC594D"/>
    <w:pPr>
      <w:spacing w:line="240" w:lineRule="auto"/>
    </w:pPr>
    <w:tblPr>
      <w:tblStyleRowBandSize w:val="1"/>
      <w:tblStyleColBandSize w:val="1"/>
      <w:tblBorders>
        <w:top w:val="single" w:sz="8" w:space="0" w:color="90A6AF" w:themeColor="accent1" w:themeTint="BF"/>
        <w:left w:val="single" w:sz="8" w:space="0" w:color="90A6AF" w:themeColor="accent1" w:themeTint="BF"/>
        <w:bottom w:val="single" w:sz="8" w:space="0" w:color="90A6AF" w:themeColor="accent1" w:themeTint="BF"/>
        <w:right w:val="single" w:sz="8" w:space="0" w:color="90A6AF" w:themeColor="accent1" w:themeTint="BF"/>
        <w:insideH w:val="single" w:sz="8" w:space="0" w:color="90A6AF" w:themeColor="accent1" w:themeTint="BF"/>
        <w:insideV w:val="single" w:sz="8" w:space="0" w:color="90A6AF" w:themeColor="accent1" w:themeTint="BF"/>
      </w:tblBorders>
    </w:tblPr>
    <w:tcPr>
      <w:shd w:val="clear" w:color="auto" w:fill="DAE1E4" w:themeFill="accent1" w:themeFillTint="3F"/>
    </w:tcPr>
    <w:tblStylePr w:type="firstRow">
      <w:rPr>
        <w:b/>
        <w:bCs/>
      </w:rPr>
    </w:tblStylePr>
    <w:tblStylePr w:type="lastRow">
      <w:rPr>
        <w:b/>
        <w:bCs/>
      </w:rPr>
      <w:tblPr/>
      <w:tcPr>
        <w:tcBorders>
          <w:top w:val="single" w:sz="18" w:space="0" w:color="90A6AF" w:themeColor="accent1" w:themeTint="BF"/>
        </w:tcBorders>
      </w:tcPr>
    </w:tblStylePr>
    <w:tblStylePr w:type="firstCol">
      <w:rPr>
        <w:b/>
        <w:bCs/>
      </w:rPr>
    </w:tblStylePr>
    <w:tblStylePr w:type="lastCol">
      <w:rPr>
        <w:b/>
        <w:bCs/>
      </w:rPr>
    </w:tblStylePr>
    <w:tblStylePr w:type="band1Vert">
      <w:tblPr/>
      <w:tcPr>
        <w:shd w:val="clear" w:color="auto" w:fill="B5C4C9" w:themeFill="accent1" w:themeFillTint="7F"/>
      </w:tcPr>
    </w:tblStylePr>
    <w:tblStylePr w:type="band1Horz">
      <w:tblPr/>
      <w:tcPr>
        <w:shd w:val="clear" w:color="auto" w:fill="B5C4C9" w:themeFill="accent1" w:themeFillTint="7F"/>
      </w:tcPr>
    </w:tblStylePr>
  </w:style>
  <w:style w:type="table" w:styleId="Mediumgitter1-fremhvningsfarve2">
    <w:name w:val="Medium Grid 1 Accent 2"/>
    <w:basedOn w:val="Tabel-Normal"/>
    <w:uiPriority w:val="67"/>
    <w:semiHidden/>
    <w:unhideWhenUsed/>
    <w:rsid w:val="00BC594D"/>
    <w:pPr>
      <w:spacing w:line="240" w:lineRule="auto"/>
    </w:pPr>
    <w:tblPr>
      <w:tblStyleRowBandSize w:val="1"/>
      <w:tblStyleColBandSize w:val="1"/>
      <w:tblBorders>
        <w:top w:val="single" w:sz="8" w:space="0" w:color="00A1D9" w:themeColor="accent2" w:themeTint="BF"/>
        <w:left w:val="single" w:sz="8" w:space="0" w:color="00A1D9" w:themeColor="accent2" w:themeTint="BF"/>
        <w:bottom w:val="single" w:sz="8" w:space="0" w:color="00A1D9" w:themeColor="accent2" w:themeTint="BF"/>
        <w:right w:val="single" w:sz="8" w:space="0" w:color="00A1D9" w:themeColor="accent2" w:themeTint="BF"/>
        <w:insideH w:val="single" w:sz="8" w:space="0" w:color="00A1D9" w:themeColor="accent2" w:themeTint="BF"/>
        <w:insideV w:val="single" w:sz="8" w:space="0" w:color="00A1D9" w:themeColor="accent2" w:themeTint="BF"/>
      </w:tblBorders>
    </w:tblPr>
    <w:tcPr>
      <w:shd w:val="clear" w:color="auto" w:fill="9EE5FF" w:themeFill="accent2" w:themeFillTint="3F"/>
    </w:tcPr>
    <w:tblStylePr w:type="firstRow">
      <w:rPr>
        <w:b/>
        <w:bCs/>
      </w:rPr>
    </w:tblStylePr>
    <w:tblStylePr w:type="lastRow">
      <w:rPr>
        <w:b/>
        <w:bCs/>
      </w:rPr>
      <w:tblPr/>
      <w:tcPr>
        <w:tcBorders>
          <w:top w:val="single" w:sz="18" w:space="0" w:color="00A1D9" w:themeColor="accent2" w:themeTint="BF"/>
        </w:tcBorders>
      </w:tcPr>
    </w:tblStylePr>
    <w:tblStylePr w:type="firstCol">
      <w:rPr>
        <w:b/>
        <w:bCs/>
      </w:rPr>
    </w:tblStylePr>
    <w:tblStylePr w:type="lastCol">
      <w:rPr>
        <w:b/>
        <w:bCs/>
      </w:rPr>
    </w:tblStylePr>
    <w:tblStylePr w:type="band1Vert">
      <w:tblPr/>
      <w:tcPr>
        <w:shd w:val="clear" w:color="auto" w:fill="3CCCFF" w:themeFill="accent2" w:themeFillTint="7F"/>
      </w:tcPr>
    </w:tblStylePr>
    <w:tblStylePr w:type="band1Horz">
      <w:tblPr/>
      <w:tcPr>
        <w:shd w:val="clear" w:color="auto" w:fill="3CCCFF" w:themeFill="accent2" w:themeFillTint="7F"/>
      </w:tcPr>
    </w:tblStylePr>
  </w:style>
  <w:style w:type="table" w:styleId="Mediumgitter1-fremhvningsfarve3">
    <w:name w:val="Medium Grid 1 Accent 3"/>
    <w:basedOn w:val="Tabel-Normal"/>
    <w:uiPriority w:val="67"/>
    <w:semiHidden/>
    <w:unhideWhenUsed/>
    <w:rsid w:val="00BC594D"/>
    <w:pPr>
      <w:spacing w:line="240" w:lineRule="auto"/>
    </w:pPr>
    <w:tblPr>
      <w:tblStyleRowBandSize w:val="1"/>
      <w:tblStyleColBandSize w:val="1"/>
      <w:tblBorders>
        <w:top w:val="single" w:sz="8" w:space="0" w:color="A7DDF4" w:themeColor="accent3" w:themeTint="BF"/>
        <w:left w:val="single" w:sz="8" w:space="0" w:color="A7DDF4" w:themeColor="accent3" w:themeTint="BF"/>
        <w:bottom w:val="single" w:sz="8" w:space="0" w:color="A7DDF4" w:themeColor="accent3" w:themeTint="BF"/>
        <w:right w:val="single" w:sz="8" w:space="0" w:color="A7DDF4" w:themeColor="accent3" w:themeTint="BF"/>
        <w:insideH w:val="single" w:sz="8" w:space="0" w:color="A7DDF4" w:themeColor="accent3" w:themeTint="BF"/>
        <w:insideV w:val="single" w:sz="8" w:space="0" w:color="A7DDF4" w:themeColor="accent3" w:themeTint="BF"/>
      </w:tblBorders>
    </w:tblPr>
    <w:tcPr>
      <w:shd w:val="clear" w:color="auto" w:fill="E1F3FB" w:themeFill="accent3" w:themeFillTint="3F"/>
    </w:tcPr>
    <w:tblStylePr w:type="firstRow">
      <w:rPr>
        <w:b/>
        <w:bCs/>
      </w:rPr>
    </w:tblStylePr>
    <w:tblStylePr w:type="lastRow">
      <w:rPr>
        <w:b/>
        <w:bCs/>
      </w:rPr>
      <w:tblPr/>
      <w:tcPr>
        <w:tcBorders>
          <w:top w:val="single" w:sz="18" w:space="0" w:color="A7DDF4" w:themeColor="accent3" w:themeTint="BF"/>
        </w:tcBorders>
      </w:tcPr>
    </w:tblStylePr>
    <w:tblStylePr w:type="firstCol">
      <w:rPr>
        <w:b/>
        <w:bCs/>
      </w:rPr>
    </w:tblStylePr>
    <w:tblStylePr w:type="lastCol">
      <w:rPr>
        <w:b/>
        <w:bCs/>
      </w:rPr>
    </w:tblStylePr>
    <w:tblStylePr w:type="band1Vert">
      <w:tblPr/>
      <w:tcPr>
        <w:shd w:val="clear" w:color="auto" w:fill="C4E8F8" w:themeFill="accent3" w:themeFillTint="7F"/>
      </w:tcPr>
    </w:tblStylePr>
    <w:tblStylePr w:type="band1Horz">
      <w:tblPr/>
      <w:tcPr>
        <w:shd w:val="clear" w:color="auto" w:fill="C4E8F8" w:themeFill="accent3" w:themeFillTint="7F"/>
      </w:tcPr>
    </w:tblStylePr>
  </w:style>
  <w:style w:type="table" w:styleId="Mediumgitter1-fremhvningsfarve4">
    <w:name w:val="Medium Grid 1 Accent 4"/>
    <w:basedOn w:val="Tabel-Normal"/>
    <w:uiPriority w:val="67"/>
    <w:semiHidden/>
    <w:unhideWhenUsed/>
    <w:rsid w:val="00BC594D"/>
    <w:pPr>
      <w:spacing w:line="240" w:lineRule="auto"/>
    </w:pPr>
    <w:tblPr>
      <w:tblStyleRowBandSize w:val="1"/>
      <w:tblStyleColBandSize w:val="1"/>
      <w:tblBorders>
        <w:top w:val="single" w:sz="8" w:space="0" w:color="FFBC8A" w:themeColor="accent4" w:themeTint="BF"/>
        <w:left w:val="single" w:sz="8" w:space="0" w:color="FFBC8A" w:themeColor="accent4" w:themeTint="BF"/>
        <w:bottom w:val="single" w:sz="8" w:space="0" w:color="FFBC8A" w:themeColor="accent4" w:themeTint="BF"/>
        <w:right w:val="single" w:sz="8" w:space="0" w:color="FFBC8A" w:themeColor="accent4" w:themeTint="BF"/>
        <w:insideH w:val="single" w:sz="8" w:space="0" w:color="FFBC8A" w:themeColor="accent4" w:themeTint="BF"/>
        <w:insideV w:val="single" w:sz="8" w:space="0" w:color="FFBC8A" w:themeColor="accent4" w:themeTint="BF"/>
      </w:tblBorders>
    </w:tblPr>
    <w:tcPr>
      <w:shd w:val="clear" w:color="auto" w:fill="FFE9D8" w:themeFill="accent4" w:themeFillTint="3F"/>
    </w:tcPr>
    <w:tblStylePr w:type="firstRow">
      <w:rPr>
        <w:b/>
        <w:bCs/>
      </w:rPr>
    </w:tblStylePr>
    <w:tblStylePr w:type="lastRow">
      <w:rPr>
        <w:b/>
        <w:bCs/>
      </w:rPr>
      <w:tblPr/>
      <w:tcPr>
        <w:tcBorders>
          <w:top w:val="single" w:sz="18" w:space="0" w:color="FFBC8A" w:themeColor="accent4" w:themeTint="BF"/>
        </w:tcBorders>
      </w:tcPr>
    </w:tblStylePr>
    <w:tblStylePr w:type="firstCol">
      <w:rPr>
        <w:b/>
        <w:bCs/>
      </w:rPr>
    </w:tblStylePr>
    <w:tblStylePr w:type="lastCol">
      <w:rPr>
        <w:b/>
        <w:bCs/>
      </w:rPr>
    </w:tblStylePr>
    <w:tblStylePr w:type="band1Vert">
      <w:tblPr/>
      <w:tcPr>
        <w:shd w:val="clear" w:color="auto" w:fill="FFD2B1" w:themeFill="accent4" w:themeFillTint="7F"/>
      </w:tcPr>
    </w:tblStylePr>
    <w:tblStylePr w:type="band1Horz">
      <w:tblPr/>
      <w:tcPr>
        <w:shd w:val="clear" w:color="auto" w:fill="FFD2B1" w:themeFill="accent4" w:themeFillTint="7F"/>
      </w:tcPr>
    </w:tblStylePr>
  </w:style>
  <w:style w:type="table" w:styleId="Mediumgitter1-fremhvningsfarve5">
    <w:name w:val="Medium Grid 1 Accent 5"/>
    <w:basedOn w:val="Tabel-Normal"/>
    <w:uiPriority w:val="67"/>
    <w:semiHidden/>
    <w:unhideWhenUsed/>
    <w:rsid w:val="00BC594D"/>
    <w:pPr>
      <w:spacing w:line="240" w:lineRule="auto"/>
    </w:pPr>
    <w:tblPr>
      <w:tblStyleRowBandSize w:val="1"/>
      <w:tblStyleColBandSize w:val="1"/>
      <w:tblBorders>
        <w:top w:val="single" w:sz="8" w:space="0" w:color="7BE0AC" w:themeColor="accent5" w:themeTint="BF"/>
        <w:left w:val="single" w:sz="8" w:space="0" w:color="7BE0AC" w:themeColor="accent5" w:themeTint="BF"/>
        <w:bottom w:val="single" w:sz="8" w:space="0" w:color="7BE0AC" w:themeColor="accent5" w:themeTint="BF"/>
        <w:right w:val="single" w:sz="8" w:space="0" w:color="7BE0AC" w:themeColor="accent5" w:themeTint="BF"/>
        <w:insideH w:val="single" w:sz="8" w:space="0" w:color="7BE0AC" w:themeColor="accent5" w:themeTint="BF"/>
        <w:insideV w:val="single" w:sz="8" w:space="0" w:color="7BE0AC" w:themeColor="accent5" w:themeTint="BF"/>
      </w:tblBorders>
    </w:tblPr>
    <w:tcPr>
      <w:shd w:val="clear" w:color="auto" w:fill="D3F4E3" w:themeFill="accent5" w:themeFillTint="3F"/>
    </w:tcPr>
    <w:tblStylePr w:type="firstRow">
      <w:rPr>
        <w:b/>
        <w:bCs/>
      </w:rPr>
    </w:tblStylePr>
    <w:tblStylePr w:type="lastRow">
      <w:rPr>
        <w:b/>
        <w:bCs/>
      </w:rPr>
      <w:tblPr/>
      <w:tcPr>
        <w:tcBorders>
          <w:top w:val="single" w:sz="18" w:space="0" w:color="7BE0AC" w:themeColor="accent5" w:themeTint="BF"/>
        </w:tcBorders>
      </w:tcPr>
    </w:tblStylePr>
    <w:tblStylePr w:type="firstCol">
      <w:rPr>
        <w:b/>
        <w:bCs/>
      </w:rPr>
    </w:tblStylePr>
    <w:tblStylePr w:type="lastCol">
      <w:rPr>
        <w:b/>
        <w:bCs/>
      </w:rPr>
    </w:tblStylePr>
    <w:tblStylePr w:type="band1Vert">
      <w:tblPr/>
      <w:tcPr>
        <w:shd w:val="clear" w:color="auto" w:fill="A7EAC7" w:themeFill="accent5" w:themeFillTint="7F"/>
      </w:tcPr>
    </w:tblStylePr>
    <w:tblStylePr w:type="band1Horz">
      <w:tblPr/>
      <w:tcPr>
        <w:shd w:val="clear" w:color="auto" w:fill="A7EAC7" w:themeFill="accent5" w:themeFillTint="7F"/>
      </w:tcPr>
    </w:tblStylePr>
  </w:style>
  <w:style w:type="table" w:styleId="Mediumgitter1-fremhvningsfarve6">
    <w:name w:val="Medium Grid 1 Accent 6"/>
    <w:basedOn w:val="Tabel-Normal"/>
    <w:uiPriority w:val="67"/>
    <w:semiHidden/>
    <w:unhideWhenUsed/>
    <w:rsid w:val="00BC594D"/>
    <w:pPr>
      <w:spacing w:line="240" w:lineRule="auto"/>
    </w:pPr>
    <w:tblPr>
      <w:tblStyleRowBandSize w:val="1"/>
      <w:tblStyleColBandSize w:val="1"/>
      <w:tblBorders>
        <w:top w:val="single" w:sz="8" w:space="0" w:color="FFE334" w:themeColor="accent6" w:themeTint="BF"/>
        <w:left w:val="single" w:sz="8" w:space="0" w:color="FFE334" w:themeColor="accent6" w:themeTint="BF"/>
        <w:bottom w:val="single" w:sz="8" w:space="0" w:color="FFE334" w:themeColor="accent6" w:themeTint="BF"/>
        <w:right w:val="single" w:sz="8" w:space="0" w:color="FFE334" w:themeColor="accent6" w:themeTint="BF"/>
        <w:insideH w:val="single" w:sz="8" w:space="0" w:color="FFE334" w:themeColor="accent6" w:themeTint="BF"/>
        <w:insideV w:val="single" w:sz="8" w:space="0" w:color="FFE334" w:themeColor="accent6" w:themeTint="BF"/>
      </w:tblBorders>
    </w:tblPr>
    <w:tcPr>
      <w:shd w:val="clear" w:color="auto" w:fill="FFF5BC" w:themeFill="accent6" w:themeFillTint="3F"/>
    </w:tcPr>
    <w:tblStylePr w:type="firstRow">
      <w:rPr>
        <w:b/>
        <w:bCs/>
      </w:rPr>
    </w:tblStylePr>
    <w:tblStylePr w:type="lastRow">
      <w:rPr>
        <w:b/>
        <w:bCs/>
      </w:rPr>
      <w:tblPr/>
      <w:tcPr>
        <w:tcBorders>
          <w:top w:val="single" w:sz="18" w:space="0" w:color="FFE334" w:themeColor="accent6" w:themeTint="BF"/>
        </w:tcBorders>
      </w:tcPr>
    </w:tblStylePr>
    <w:tblStylePr w:type="firstCol">
      <w:rPr>
        <w:b/>
        <w:bCs/>
      </w:rPr>
    </w:tblStylePr>
    <w:tblStylePr w:type="lastCol">
      <w:rPr>
        <w:b/>
        <w:bCs/>
      </w:rPr>
    </w:tblStylePr>
    <w:tblStylePr w:type="band1Vert">
      <w:tblPr/>
      <w:tcPr>
        <w:shd w:val="clear" w:color="auto" w:fill="FFEC78" w:themeFill="accent6" w:themeFillTint="7F"/>
      </w:tcPr>
    </w:tblStylePr>
    <w:tblStylePr w:type="band1Horz">
      <w:tblPr/>
      <w:tcPr>
        <w:shd w:val="clear" w:color="auto" w:fill="FFEC78" w:themeFill="accent6" w:themeFillTint="7F"/>
      </w:tcPr>
    </w:tblStylePr>
  </w:style>
  <w:style w:type="table" w:styleId="Mediumgitter2">
    <w:name w:val="Medium Grid 2"/>
    <w:basedOn w:val="Tabel-Normal"/>
    <w:uiPriority w:val="68"/>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itter2-fremhvningsfarve1">
    <w:name w:val="Medium Grid 2 Accent 1"/>
    <w:basedOn w:val="Tabel-Normal"/>
    <w:uiPriority w:val="68"/>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B8994" w:themeColor="accent1"/>
        <w:left w:val="single" w:sz="8" w:space="0" w:color="6B8994" w:themeColor="accent1"/>
        <w:bottom w:val="single" w:sz="8" w:space="0" w:color="6B8994" w:themeColor="accent1"/>
        <w:right w:val="single" w:sz="8" w:space="0" w:color="6B8994" w:themeColor="accent1"/>
        <w:insideH w:val="single" w:sz="8" w:space="0" w:color="6B8994" w:themeColor="accent1"/>
        <w:insideV w:val="single" w:sz="8" w:space="0" w:color="6B8994" w:themeColor="accent1"/>
      </w:tblBorders>
    </w:tblPr>
    <w:tcPr>
      <w:shd w:val="clear" w:color="auto" w:fill="DAE1E4" w:themeFill="accent1" w:themeFillTint="3F"/>
    </w:tcPr>
    <w:tblStylePr w:type="firstRow">
      <w:rPr>
        <w:b/>
        <w:bCs/>
        <w:color w:val="000000" w:themeColor="text1"/>
      </w:rPr>
      <w:tblPr/>
      <w:tcPr>
        <w:shd w:val="clear" w:color="auto" w:fill="F0F3F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E7E9" w:themeFill="accent1" w:themeFillTint="33"/>
      </w:tcPr>
    </w:tblStylePr>
    <w:tblStylePr w:type="band1Vert">
      <w:tblPr/>
      <w:tcPr>
        <w:shd w:val="clear" w:color="auto" w:fill="B5C4C9" w:themeFill="accent1" w:themeFillTint="7F"/>
      </w:tcPr>
    </w:tblStylePr>
    <w:tblStylePr w:type="band1Horz">
      <w:tblPr/>
      <w:tcPr>
        <w:tcBorders>
          <w:insideH w:val="single" w:sz="6" w:space="0" w:color="6B8994" w:themeColor="accent1"/>
          <w:insideV w:val="single" w:sz="6" w:space="0" w:color="6B8994" w:themeColor="accent1"/>
        </w:tcBorders>
        <w:shd w:val="clear" w:color="auto" w:fill="B5C4C9" w:themeFill="accent1" w:themeFillTint="7F"/>
      </w:tcPr>
    </w:tblStylePr>
    <w:tblStylePr w:type="nwCell">
      <w:tblPr/>
      <w:tcPr>
        <w:shd w:val="clear" w:color="auto" w:fill="FFFFFF" w:themeFill="background1"/>
      </w:tcPr>
    </w:tblStylePr>
  </w:style>
  <w:style w:type="table" w:styleId="Mediumgitter2-fremhvningsfarve2">
    <w:name w:val="Medium Grid 2 Accent 2"/>
    <w:basedOn w:val="Tabel-Normal"/>
    <w:uiPriority w:val="68"/>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5978" w:themeColor="accent2"/>
        <w:left w:val="single" w:sz="8" w:space="0" w:color="005978" w:themeColor="accent2"/>
        <w:bottom w:val="single" w:sz="8" w:space="0" w:color="005978" w:themeColor="accent2"/>
        <w:right w:val="single" w:sz="8" w:space="0" w:color="005978" w:themeColor="accent2"/>
        <w:insideH w:val="single" w:sz="8" w:space="0" w:color="005978" w:themeColor="accent2"/>
        <w:insideV w:val="single" w:sz="8" w:space="0" w:color="005978" w:themeColor="accent2"/>
      </w:tblBorders>
    </w:tblPr>
    <w:tcPr>
      <w:shd w:val="clear" w:color="auto" w:fill="9EE5FF" w:themeFill="accent2" w:themeFillTint="3F"/>
    </w:tcPr>
    <w:tblStylePr w:type="firstRow">
      <w:rPr>
        <w:b/>
        <w:bCs/>
        <w:color w:val="000000" w:themeColor="text1"/>
      </w:rPr>
      <w:tblPr/>
      <w:tcPr>
        <w:shd w:val="clear" w:color="auto" w:fill="D8F5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1EAFF" w:themeFill="accent2" w:themeFillTint="33"/>
      </w:tcPr>
    </w:tblStylePr>
    <w:tblStylePr w:type="band1Vert">
      <w:tblPr/>
      <w:tcPr>
        <w:shd w:val="clear" w:color="auto" w:fill="3CCCFF" w:themeFill="accent2" w:themeFillTint="7F"/>
      </w:tcPr>
    </w:tblStylePr>
    <w:tblStylePr w:type="band1Horz">
      <w:tblPr/>
      <w:tcPr>
        <w:tcBorders>
          <w:insideH w:val="single" w:sz="6" w:space="0" w:color="005978" w:themeColor="accent2"/>
          <w:insideV w:val="single" w:sz="6" w:space="0" w:color="005978" w:themeColor="accent2"/>
        </w:tcBorders>
        <w:shd w:val="clear" w:color="auto" w:fill="3CCCFF" w:themeFill="accent2" w:themeFillTint="7F"/>
      </w:tcPr>
    </w:tblStylePr>
    <w:tblStylePr w:type="nwCell">
      <w:tblPr/>
      <w:tcPr>
        <w:shd w:val="clear" w:color="auto" w:fill="FFFFFF" w:themeFill="background1"/>
      </w:tcPr>
    </w:tblStylePr>
  </w:style>
  <w:style w:type="table" w:styleId="Mediumgitter2-fremhvningsfarve3">
    <w:name w:val="Medium Grid 2 Accent 3"/>
    <w:basedOn w:val="Tabel-Normal"/>
    <w:uiPriority w:val="68"/>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AD2F1" w:themeColor="accent3"/>
        <w:left w:val="single" w:sz="8" w:space="0" w:color="8AD2F1" w:themeColor="accent3"/>
        <w:bottom w:val="single" w:sz="8" w:space="0" w:color="8AD2F1" w:themeColor="accent3"/>
        <w:right w:val="single" w:sz="8" w:space="0" w:color="8AD2F1" w:themeColor="accent3"/>
        <w:insideH w:val="single" w:sz="8" w:space="0" w:color="8AD2F1" w:themeColor="accent3"/>
        <w:insideV w:val="single" w:sz="8" w:space="0" w:color="8AD2F1" w:themeColor="accent3"/>
      </w:tblBorders>
    </w:tblPr>
    <w:tcPr>
      <w:shd w:val="clear" w:color="auto" w:fill="E1F3FB" w:themeFill="accent3" w:themeFillTint="3F"/>
    </w:tcPr>
    <w:tblStylePr w:type="firstRow">
      <w:rPr>
        <w:b/>
        <w:bCs/>
        <w:color w:val="000000" w:themeColor="text1"/>
      </w:rPr>
      <w:tblPr/>
      <w:tcPr>
        <w:shd w:val="clear" w:color="auto" w:fill="F3FAFD"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F5FC" w:themeFill="accent3" w:themeFillTint="33"/>
      </w:tcPr>
    </w:tblStylePr>
    <w:tblStylePr w:type="band1Vert">
      <w:tblPr/>
      <w:tcPr>
        <w:shd w:val="clear" w:color="auto" w:fill="C4E8F8" w:themeFill="accent3" w:themeFillTint="7F"/>
      </w:tcPr>
    </w:tblStylePr>
    <w:tblStylePr w:type="band1Horz">
      <w:tblPr/>
      <w:tcPr>
        <w:tcBorders>
          <w:insideH w:val="single" w:sz="6" w:space="0" w:color="8AD2F1" w:themeColor="accent3"/>
          <w:insideV w:val="single" w:sz="6" w:space="0" w:color="8AD2F1" w:themeColor="accent3"/>
        </w:tcBorders>
        <w:shd w:val="clear" w:color="auto" w:fill="C4E8F8" w:themeFill="accent3" w:themeFillTint="7F"/>
      </w:tcPr>
    </w:tblStylePr>
    <w:tblStylePr w:type="nwCell">
      <w:tblPr/>
      <w:tcPr>
        <w:shd w:val="clear" w:color="auto" w:fill="FFFFFF" w:themeFill="background1"/>
      </w:tcPr>
    </w:tblStylePr>
  </w:style>
  <w:style w:type="table" w:styleId="Mediumgitter2-fremhvningsfarve4">
    <w:name w:val="Medium Grid 2 Accent 4"/>
    <w:basedOn w:val="Tabel-Normal"/>
    <w:uiPriority w:val="68"/>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A763" w:themeColor="accent4"/>
        <w:left w:val="single" w:sz="8" w:space="0" w:color="FFA763" w:themeColor="accent4"/>
        <w:bottom w:val="single" w:sz="8" w:space="0" w:color="FFA763" w:themeColor="accent4"/>
        <w:right w:val="single" w:sz="8" w:space="0" w:color="FFA763" w:themeColor="accent4"/>
        <w:insideH w:val="single" w:sz="8" w:space="0" w:color="FFA763" w:themeColor="accent4"/>
        <w:insideV w:val="single" w:sz="8" w:space="0" w:color="FFA763" w:themeColor="accent4"/>
      </w:tblBorders>
    </w:tblPr>
    <w:tcPr>
      <w:shd w:val="clear" w:color="auto" w:fill="FFE9D8" w:themeFill="accent4" w:themeFillTint="3F"/>
    </w:tcPr>
    <w:tblStylePr w:type="firstRow">
      <w:rPr>
        <w:b/>
        <w:bCs/>
        <w:color w:val="000000" w:themeColor="text1"/>
      </w:rPr>
      <w:tblPr/>
      <w:tcPr>
        <w:shd w:val="clear" w:color="auto" w:fill="FFF6E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DDF" w:themeFill="accent4" w:themeFillTint="33"/>
      </w:tcPr>
    </w:tblStylePr>
    <w:tblStylePr w:type="band1Vert">
      <w:tblPr/>
      <w:tcPr>
        <w:shd w:val="clear" w:color="auto" w:fill="FFD2B1" w:themeFill="accent4" w:themeFillTint="7F"/>
      </w:tcPr>
    </w:tblStylePr>
    <w:tblStylePr w:type="band1Horz">
      <w:tblPr/>
      <w:tcPr>
        <w:tcBorders>
          <w:insideH w:val="single" w:sz="6" w:space="0" w:color="FFA763" w:themeColor="accent4"/>
          <w:insideV w:val="single" w:sz="6" w:space="0" w:color="FFA763" w:themeColor="accent4"/>
        </w:tcBorders>
        <w:shd w:val="clear" w:color="auto" w:fill="FFD2B1" w:themeFill="accent4" w:themeFillTint="7F"/>
      </w:tcPr>
    </w:tblStylePr>
    <w:tblStylePr w:type="nwCell">
      <w:tblPr/>
      <w:tcPr>
        <w:shd w:val="clear" w:color="auto" w:fill="FFFFFF" w:themeFill="background1"/>
      </w:tcPr>
    </w:tblStylePr>
  </w:style>
  <w:style w:type="table" w:styleId="Mediumgitter2-fremhvningsfarve5">
    <w:name w:val="Medium Grid 2 Accent 5"/>
    <w:basedOn w:val="Tabel-Normal"/>
    <w:uiPriority w:val="68"/>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0D691" w:themeColor="accent5"/>
        <w:left w:val="single" w:sz="8" w:space="0" w:color="50D691" w:themeColor="accent5"/>
        <w:bottom w:val="single" w:sz="8" w:space="0" w:color="50D691" w:themeColor="accent5"/>
        <w:right w:val="single" w:sz="8" w:space="0" w:color="50D691" w:themeColor="accent5"/>
        <w:insideH w:val="single" w:sz="8" w:space="0" w:color="50D691" w:themeColor="accent5"/>
        <w:insideV w:val="single" w:sz="8" w:space="0" w:color="50D691" w:themeColor="accent5"/>
      </w:tblBorders>
    </w:tblPr>
    <w:tcPr>
      <w:shd w:val="clear" w:color="auto" w:fill="D3F4E3" w:themeFill="accent5" w:themeFillTint="3F"/>
    </w:tcPr>
    <w:tblStylePr w:type="firstRow">
      <w:rPr>
        <w:b/>
        <w:bCs/>
        <w:color w:val="000000" w:themeColor="text1"/>
      </w:rPr>
      <w:tblPr/>
      <w:tcPr>
        <w:shd w:val="clear" w:color="auto" w:fill="EDFBF4"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F6E8" w:themeFill="accent5" w:themeFillTint="33"/>
      </w:tcPr>
    </w:tblStylePr>
    <w:tblStylePr w:type="band1Vert">
      <w:tblPr/>
      <w:tcPr>
        <w:shd w:val="clear" w:color="auto" w:fill="A7EAC7" w:themeFill="accent5" w:themeFillTint="7F"/>
      </w:tcPr>
    </w:tblStylePr>
    <w:tblStylePr w:type="band1Horz">
      <w:tblPr/>
      <w:tcPr>
        <w:tcBorders>
          <w:insideH w:val="single" w:sz="6" w:space="0" w:color="50D691" w:themeColor="accent5"/>
          <w:insideV w:val="single" w:sz="6" w:space="0" w:color="50D691" w:themeColor="accent5"/>
        </w:tcBorders>
        <w:shd w:val="clear" w:color="auto" w:fill="A7EAC7" w:themeFill="accent5" w:themeFillTint="7F"/>
      </w:tcPr>
    </w:tblStylePr>
    <w:tblStylePr w:type="nwCell">
      <w:tblPr/>
      <w:tcPr>
        <w:shd w:val="clear" w:color="auto" w:fill="FFFFFF" w:themeFill="background1"/>
      </w:tcPr>
    </w:tblStylePr>
  </w:style>
  <w:style w:type="table" w:styleId="Mediumgitter2-fremhvningsfarve6">
    <w:name w:val="Medium Grid 2 Accent 6"/>
    <w:basedOn w:val="Tabel-Normal"/>
    <w:uiPriority w:val="68"/>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FCF00" w:themeColor="accent6"/>
        <w:left w:val="single" w:sz="8" w:space="0" w:color="EFCF00" w:themeColor="accent6"/>
        <w:bottom w:val="single" w:sz="8" w:space="0" w:color="EFCF00" w:themeColor="accent6"/>
        <w:right w:val="single" w:sz="8" w:space="0" w:color="EFCF00" w:themeColor="accent6"/>
        <w:insideH w:val="single" w:sz="8" w:space="0" w:color="EFCF00" w:themeColor="accent6"/>
        <w:insideV w:val="single" w:sz="8" w:space="0" w:color="EFCF00" w:themeColor="accent6"/>
      </w:tblBorders>
    </w:tblPr>
    <w:tcPr>
      <w:shd w:val="clear" w:color="auto" w:fill="FFF5BC" w:themeFill="accent6" w:themeFillTint="3F"/>
    </w:tcPr>
    <w:tblStylePr w:type="firstRow">
      <w:rPr>
        <w:b/>
        <w:bCs/>
        <w:color w:val="000000" w:themeColor="text1"/>
      </w:rPr>
      <w:tblPr/>
      <w:tcPr>
        <w:shd w:val="clear" w:color="auto" w:fill="FFFBE4"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7C8" w:themeFill="accent6" w:themeFillTint="33"/>
      </w:tcPr>
    </w:tblStylePr>
    <w:tblStylePr w:type="band1Vert">
      <w:tblPr/>
      <w:tcPr>
        <w:shd w:val="clear" w:color="auto" w:fill="FFEC78" w:themeFill="accent6" w:themeFillTint="7F"/>
      </w:tcPr>
    </w:tblStylePr>
    <w:tblStylePr w:type="band1Horz">
      <w:tblPr/>
      <w:tcPr>
        <w:tcBorders>
          <w:insideH w:val="single" w:sz="6" w:space="0" w:color="EFCF00" w:themeColor="accent6"/>
          <w:insideV w:val="single" w:sz="6" w:space="0" w:color="EFCF00" w:themeColor="accent6"/>
        </w:tcBorders>
        <w:shd w:val="clear" w:color="auto" w:fill="FFEC78" w:themeFill="accent6" w:themeFillTint="7F"/>
      </w:tcPr>
    </w:tblStylePr>
    <w:tblStylePr w:type="nwCell">
      <w:tblPr/>
      <w:tcPr>
        <w:shd w:val="clear" w:color="auto" w:fill="FFFFFF" w:themeFill="background1"/>
      </w:tcPr>
    </w:tblStylePr>
  </w:style>
  <w:style w:type="table" w:styleId="Mediumgitter3">
    <w:name w:val="Medium Grid 3"/>
    <w:basedOn w:val="Tabel-Normal"/>
    <w:uiPriority w:val="69"/>
    <w:semiHidden/>
    <w:unhideWhenUsed/>
    <w:rsid w:val="00BC594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itter3-fremhvningsfarve1">
    <w:name w:val="Medium Grid 3 Accent 1"/>
    <w:basedOn w:val="Tabel-Normal"/>
    <w:uiPriority w:val="69"/>
    <w:semiHidden/>
    <w:unhideWhenUsed/>
    <w:rsid w:val="00BC594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E1E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899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899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899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899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C4C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C4C9" w:themeFill="accent1" w:themeFillTint="7F"/>
      </w:tcPr>
    </w:tblStylePr>
  </w:style>
  <w:style w:type="table" w:styleId="Mediumgitter3-fremhvningsfarve2">
    <w:name w:val="Medium Grid 3 Accent 2"/>
    <w:basedOn w:val="Tabel-Normal"/>
    <w:uiPriority w:val="69"/>
    <w:semiHidden/>
    <w:unhideWhenUsed/>
    <w:rsid w:val="00BC594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EE5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97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97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97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97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CCC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CCCFF" w:themeFill="accent2" w:themeFillTint="7F"/>
      </w:tcPr>
    </w:tblStylePr>
  </w:style>
  <w:style w:type="table" w:styleId="Mediumgitter3-fremhvningsfarve3">
    <w:name w:val="Medium Grid 3 Accent 3"/>
    <w:basedOn w:val="Tabel-Normal"/>
    <w:uiPriority w:val="69"/>
    <w:semiHidden/>
    <w:unhideWhenUsed/>
    <w:rsid w:val="00BC594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3F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AD2F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AD2F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AD2F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AD2F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E8F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E8F8" w:themeFill="accent3" w:themeFillTint="7F"/>
      </w:tcPr>
    </w:tblStylePr>
  </w:style>
  <w:style w:type="table" w:styleId="Mediumgitter3-fremhvningsfarve4">
    <w:name w:val="Medium Grid 3 Accent 4"/>
    <w:basedOn w:val="Tabel-Normal"/>
    <w:uiPriority w:val="69"/>
    <w:semiHidden/>
    <w:unhideWhenUsed/>
    <w:rsid w:val="00BC594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9D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A763"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A763"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A763"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A763"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2B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2B1" w:themeFill="accent4" w:themeFillTint="7F"/>
      </w:tcPr>
    </w:tblStylePr>
  </w:style>
  <w:style w:type="table" w:styleId="Mediumgitter3-fremhvningsfarve5">
    <w:name w:val="Medium Grid 3 Accent 5"/>
    <w:basedOn w:val="Tabel-Normal"/>
    <w:uiPriority w:val="69"/>
    <w:semiHidden/>
    <w:unhideWhenUsed/>
    <w:rsid w:val="00BC594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F4E3"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D69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D69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D69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D69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EAC7"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EAC7" w:themeFill="accent5" w:themeFillTint="7F"/>
      </w:tcPr>
    </w:tblStylePr>
  </w:style>
  <w:style w:type="table" w:styleId="Mediumgitter3-fremhvningsfarve6">
    <w:name w:val="Medium Grid 3 Accent 6"/>
    <w:basedOn w:val="Tabel-Normal"/>
    <w:uiPriority w:val="69"/>
    <w:semiHidden/>
    <w:unhideWhenUsed/>
    <w:rsid w:val="00BC594D"/>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B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FCF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FCF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FCF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FCF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C7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C78" w:themeFill="accent6" w:themeFillTint="7F"/>
      </w:tcPr>
    </w:tblStylePr>
  </w:style>
  <w:style w:type="table" w:styleId="Mediumliste1">
    <w:name w:val="Medium List 1"/>
    <w:basedOn w:val="Tabel-Normal"/>
    <w:uiPriority w:val="65"/>
    <w:semiHidden/>
    <w:unhideWhenUsed/>
    <w:rsid w:val="00BC594D"/>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FF665E"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e1-farve1">
    <w:name w:val="Medium List 1 Accent 1"/>
    <w:basedOn w:val="Tabel-Normal"/>
    <w:uiPriority w:val="65"/>
    <w:semiHidden/>
    <w:unhideWhenUsed/>
    <w:rsid w:val="00BC594D"/>
    <w:pPr>
      <w:spacing w:line="240" w:lineRule="auto"/>
    </w:pPr>
    <w:rPr>
      <w:color w:val="000000" w:themeColor="text1"/>
    </w:rPr>
    <w:tblPr>
      <w:tblStyleRowBandSize w:val="1"/>
      <w:tblStyleColBandSize w:val="1"/>
      <w:tblBorders>
        <w:top w:val="single" w:sz="8" w:space="0" w:color="6B8994" w:themeColor="accent1"/>
        <w:bottom w:val="single" w:sz="8" w:space="0" w:color="6B8994" w:themeColor="accent1"/>
      </w:tblBorders>
    </w:tblPr>
    <w:tblStylePr w:type="firstRow">
      <w:rPr>
        <w:rFonts w:asciiTheme="majorHAnsi" w:eastAsiaTheme="majorEastAsia" w:hAnsiTheme="majorHAnsi" w:cstheme="majorBidi"/>
      </w:rPr>
      <w:tblPr/>
      <w:tcPr>
        <w:tcBorders>
          <w:top w:val="nil"/>
          <w:bottom w:val="single" w:sz="8" w:space="0" w:color="6B8994" w:themeColor="accent1"/>
        </w:tcBorders>
      </w:tcPr>
    </w:tblStylePr>
    <w:tblStylePr w:type="lastRow">
      <w:rPr>
        <w:b/>
        <w:bCs/>
        <w:color w:val="FF665E" w:themeColor="text2"/>
      </w:rPr>
      <w:tblPr/>
      <w:tcPr>
        <w:tcBorders>
          <w:top w:val="single" w:sz="8" w:space="0" w:color="6B8994" w:themeColor="accent1"/>
          <w:bottom w:val="single" w:sz="8" w:space="0" w:color="6B8994" w:themeColor="accent1"/>
        </w:tcBorders>
      </w:tcPr>
    </w:tblStylePr>
    <w:tblStylePr w:type="firstCol">
      <w:rPr>
        <w:b/>
        <w:bCs/>
      </w:rPr>
    </w:tblStylePr>
    <w:tblStylePr w:type="lastCol">
      <w:rPr>
        <w:b/>
        <w:bCs/>
      </w:rPr>
      <w:tblPr/>
      <w:tcPr>
        <w:tcBorders>
          <w:top w:val="single" w:sz="8" w:space="0" w:color="6B8994" w:themeColor="accent1"/>
          <w:bottom w:val="single" w:sz="8" w:space="0" w:color="6B8994" w:themeColor="accent1"/>
        </w:tcBorders>
      </w:tcPr>
    </w:tblStylePr>
    <w:tblStylePr w:type="band1Vert">
      <w:tblPr/>
      <w:tcPr>
        <w:shd w:val="clear" w:color="auto" w:fill="DAE1E4" w:themeFill="accent1" w:themeFillTint="3F"/>
      </w:tcPr>
    </w:tblStylePr>
    <w:tblStylePr w:type="band1Horz">
      <w:tblPr/>
      <w:tcPr>
        <w:shd w:val="clear" w:color="auto" w:fill="DAE1E4" w:themeFill="accent1" w:themeFillTint="3F"/>
      </w:tcPr>
    </w:tblStylePr>
  </w:style>
  <w:style w:type="table" w:styleId="Mediumliste1-fremhvningsfarve2">
    <w:name w:val="Medium List 1 Accent 2"/>
    <w:basedOn w:val="Tabel-Normal"/>
    <w:uiPriority w:val="65"/>
    <w:semiHidden/>
    <w:unhideWhenUsed/>
    <w:rsid w:val="00BC594D"/>
    <w:pPr>
      <w:spacing w:line="240" w:lineRule="auto"/>
    </w:pPr>
    <w:rPr>
      <w:color w:val="000000" w:themeColor="text1"/>
    </w:rPr>
    <w:tblPr>
      <w:tblStyleRowBandSize w:val="1"/>
      <w:tblStyleColBandSize w:val="1"/>
      <w:tblBorders>
        <w:top w:val="single" w:sz="8" w:space="0" w:color="005978" w:themeColor="accent2"/>
        <w:bottom w:val="single" w:sz="8" w:space="0" w:color="005978" w:themeColor="accent2"/>
      </w:tblBorders>
    </w:tblPr>
    <w:tblStylePr w:type="firstRow">
      <w:rPr>
        <w:rFonts w:asciiTheme="majorHAnsi" w:eastAsiaTheme="majorEastAsia" w:hAnsiTheme="majorHAnsi" w:cstheme="majorBidi"/>
      </w:rPr>
      <w:tblPr/>
      <w:tcPr>
        <w:tcBorders>
          <w:top w:val="nil"/>
          <w:bottom w:val="single" w:sz="8" w:space="0" w:color="005978" w:themeColor="accent2"/>
        </w:tcBorders>
      </w:tcPr>
    </w:tblStylePr>
    <w:tblStylePr w:type="lastRow">
      <w:rPr>
        <w:b/>
        <w:bCs/>
        <w:color w:val="FF665E" w:themeColor="text2"/>
      </w:rPr>
      <w:tblPr/>
      <w:tcPr>
        <w:tcBorders>
          <w:top w:val="single" w:sz="8" w:space="0" w:color="005978" w:themeColor="accent2"/>
          <w:bottom w:val="single" w:sz="8" w:space="0" w:color="005978" w:themeColor="accent2"/>
        </w:tcBorders>
      </w:tcPr>
    </w:tblStylePr>
    <w:tblStylePr w:type="firstCol">
      <w:rPr>
        <w:b/>
        <w:bCs/>
      </w:rPr>
    </w:tblStylePr>
    <w:tblStylePr w:type="lastCol">
      <w:rPr>
        <w:b/>
        <w:bCs/>
      </w:rPr>
      <w:tblPr/>
      <w:tcPr>
        <w:tcBorders>
          <w:top w:val="single" w:sz="8" w:space="0" w:color="005978" w:themeColor="accent2"/>
          <w:bottom w:val="single" w:sz="8" w:space="0" w:color="005978" w:themeColor="accent2"/>
        </w:tcBorders>
      </w:tcPr>
    </w:tblStylePr>
    <w:tblStylePr w:type="band1Vert">
      <w:tblPr/>
      <w:tcPr>
        <w:shd w:val="clear" w:color="auto" w:fill="9EE5FF" w:themeFill="accent2" w:themeFillTint="3F"/>
      </w:tcPr>
    </w:tblStylePr>
    <w:tblStylePr w:type="band1Horz">
      <w:tblPr/>
      <w:tcPr>
        <w:shd w:val="clear" w:color="auto" w:fill="9EE5FF" w:themeFill="accent2" w:themeFillTint="3F"/>
      </w:tcPr>
    </w:tblStylePr>
  </w:style>
  <w:style w:type="table" w:styleId="Mediumliste1-fremhvningsfarve3">
    <w:name w:val="Medium List 1 Accent 3"/>
    <w:basedOn w:val="Tabel-Normal"/>
    <w:uiPriority w:val="65"/>
    <w:semiHidden/>
    <w:unhideWhenUsed/>
    <w:rsid w:val="00BC594D"/>
    <w:pPr>
      <w:spacing w:line="240" w:lineRule="auto"/>
    </w:pPr>
    <w:rPr>
      <w:color w:val="000000" w:themeColor="text1"/>
    </w:rPr>
    <w:tblPr>
      <w:tblStyleRowBandSize w:val="1"/>
      <w:tblStyleColBandSize w:val="1"/>
      <w:tblBorders>
        <w:top w:val="single" w:sz="8" w:space="0" w:color="8AD2F1" w:themeColor="accent3"/>
        <w:bottom w:val="single" w:sz="8" w:space="0" w:color="8AD2F1" w:themeColor="accent3"/>
      </w:tblBorders>
    </w:tblPr>
    <w:tblStylePr w:type="firstRow">
      <w:rPr>
        <w:rFonts w:asciiTheme="majorHAnsi" w:eastAsiaTheme="majorEastAsia" w:hAnsiTheme="majorHAnsi" w:cstheme="majorBidi"/>
      </w:rPr>
      <w:tblPr/>
      <w:tcPr>
        <w:tcBorders>
          <w:top w:val="nil"/>
          <w:bottom w:val="single" w:sz="8" w:space="0" w:color="8AD2F1" w:themeColor="accent3"/>
        </w:tcBorders>
      </w:tcPr>
    </w:tblStylePr>
    <w:tblStylePr w:type="lastRow">
      <w:rPr>
        <w:b/>
        <w:bCs/>
        <w:color w:val="FF665E" w:themeColor="text2"/>
      </w:rPr>
      <w:tblPr/>
      <w:tcPr>
        <w:tcBorders>
          <w:top w:val="single" w:sz="8" w:space="0" w:color="8AD2F1" w:themeColor="accent3"/>
          <w:bottom w:val="single" w:sz="8" w:space="0" w:color="8AD2F1" w:themeColor="accent3"/>
        </w:tcBorders>
      </w:tcPr>
    </w:tblStylePr>
    <w:tblStylePr w:type="firstCol">
      <w:rPr>
        <w:b/>
        <w:bCs/>
      </w:rPr>
    </w:tblStylePr>
    <w:tblStylePr w:type="lastCol">
      <w:rPr>
        <w:b/>
        <w:bCs/>
      </w:rPr>
      <w:tblPr/>
      <w:tcPr>
        <w:tcBorders>
          <w:top w:val="single" w:sz="8" w:space="0" w:color="8AD2F1" w:themeColor="accent3"/>
          <w:bottom w:val="single" w:sz="8" w:space="0" w:color="8AD2F1" w:themeColor="accent3"/>
        </w:tcBorders>
      </w:tcPr>
    </w:tblStylePr>
    <w:tblStylePr w:type="band1Vert">
      <w:tblPr/>
      <w:tcPr>
        <w:shd w:val="clear" w:color="auto" w:fill="E1F3FB" w:themeFill="accent3" w:themeFillTint="3F"/>
      </w:tcPr>
    </w:tblStylePr>
    <w:tblStylePr w:type="band1Horz">
      <w:tblPr/>
      <w:tcPr>
        <w:shd w:val="clear" w:color="auto" w:fill="E1F3FB" w:themeFill="accent3" w:themeFillTint="3F"/>
      </w:tcPr>
    </w:tblStylePr>
  </w:style>
  <w:style w:type="table" w:styleId="Mediumliste1-fremhvningsfarve4">
    <w:name w:val="Medium List 1 Accent 4"/>
    <w:basedOn w:val="Tabel-Normal"/>
    <w:uiPriority w:val="65"/>
    <w:semiHidden/>
    <w:unhideWhenUsed/>
    <w:rsid w:val="00BC594D"/>
    <w:pPr>
      <w:spacing w:line="240" w:lineRule="auto"/>
    </w:pPr>
    <w:rPr>
      <w:color w:val="000000" w:themeColor="text1"/>
    </w:rPr>
    <w:tblPr>
      <w:tblStyleRowBandSize w:val="1"/>
      <w:tblStyleColBandSize w:val="1"/>
      <w:tblBorders>
        <w:top w:val="single" w:sz="8" w:space="0" w:color="FFA763" w:themeColor="accent4"/>
        <w:bottom w:val="single" w:sz="8" w:space="0" w:color="FFA763" w:themeColor="accent4"/>
      </w:tblBorders>
    </w:tblPr>
    <w:tblStylePr w:type="firstRow">
      <w:rPr>
        <w:rFonts w:asciiTheme="majorHAnsi" w:eastAsiaTheme="majorEastAsia" w:hAnsiTheme="majorHAnsi" w:cstheme="majorBidi"/>
      </w:rPr>
      <w:tblPr/>
      <w:tcPr>
        <w:tcBorders>
          <w:top w:val="nil"/>
          <w:bottom w:val="single" w:sz="8" w:space="0" w:color="FFA763" w:themeColor="accent4"/>
        </w:tcBorders>
      </w:tcPr>
    </w:tblStylePr>
    <w:tblStylePr w:type="lastRow">
      <w:rPr>
        <w:b/>
        <w:bCs/>
        <w:color w:val="FF665E" w:themeColor="text2"/>
      </w:rPr>
      <w:tblPr/>
      <w:tcPr>
        <w:tcBorders>
          <w:top w:val="single" w:sz="8" w:space="0" w:color="FFA763" w:themeColor="accent4"/>
          <w:bottom w:val="single" w:sz="8" w:space="0" w:color="FFA763" w:themeColor="accent4"/>
        </w:tcBorders>
      </w:tcPr>
    </w:tblStylePr>
    <w:tblStylePr w:type="firstCol">
      <w:rPr>
        <w:b/>
        <w:bCs/>
      </w:rPr>
    </w:tblStylePr>
    <w:tblStylePr w:type="lastCol">
      <w:rPr>
        <w:b/>
        <w:bCs/>
      </w:rPr>
      <w:tblPr/>
      <w:tcPr>
        <w:tcBorders>
          <w:top w:val="single" w:sz="8" w:space="0" w:color="FFA763" w:themeColor="accent4"/>
          <w:bottom w:val="single" w:sz="8" w:space="0" w:color="FFA763" w:themeColor="accent4"/>
        </w:tcBorders>
      </w:tcPr>
    </w:tblStylePr>
    <w:tblStylePr w:type="band1Vert">
      <w:tblPr/>
      <w:tcPr>
        <w:shd w:val="clear" w:color="auto" w:fill="FFE9D8" w:themeFill="accent4" w:themeFillTint="3F"/>
      </w:tcPr>
    </w:tblStylePr>
    <w:tblStylePr w:type="band1Horz">
      <w:tblPr/>
      <w:tcPr>
        <w:shd w:val="clear" w:color="auto" w:fill="FFE9D8" w:themeFill="accent4" w:themeFillTint="3F"/>
      </w:tcPr>
    </w:tblStylePr>
  </w:style>
  <w:style w:type="table" w:styleId="Mediumliste1-fremhvningsfarve5">
    <w:name w:val="Medium List 1 Accent 5"/>
    <w:basedOn w:val="Tabel-Normal"/>
    <w:uiPriority w:val="65"/>
    <w:semiHidden/>
    <w:unhideWhenUsed/>
    <w:rsid w:val="00BC594D"/>
    <w:pPr>
      <w:spacing w:line="240" w:lineRule="auto"/>
    </w:pPr>
    <w:rPr>
      <w:color w:val="000000" w:themeColor="text1"/>
    </w:rPr>
    <w:tblPr>
      <w:tblStyleRowBandSize w:val="1"/>
      <w:tblStyleColBandSize w:val="1"/>
      <w:tblBorders>
        <w:top w:val="single" w:sz="8" w:space="0" w:color="50D691" w:themeColor="accent5"/>
        <w:bottom w:val="single" w:sz="8" w:space="0" w:color="50D691" w:themeColor="accent5"/>
      </w:tblBorders>
    </w:tblPr>
    <w:tblStylePr w:type="firstRow">
      <w:rPr>
        <w:rFonts w:asciiTheme="majorHAnsi" w:eastAsiaTheme="majorEastAsia" w:hAnsiTheme="majorHAnsi" w:cstheme="majorBidi"/>
      </w:rPr>
      <w:tblPr/>
      <w:tcPr>
        <w:tcBorders>
          <w:top w:val="nil"/>
          <w:bottom w:val="single" w:sz="8" w:space="0" w:color="50D691" w:themeColor="accent5"/>
        </w:tcBorders>
      </w:tcPr>
    </w:tblStylePr>
    <w:tblStylePr w:type="lastRow">
      <w:rPr>
        <w:b/>
        <w:bCs/>
        <w:color w:val="FF665E" w:themeColor="text2"/>
      </w:rPr>
      <w:tblPr/>
      <w:tcPr>
        <w:tcBorders>
          <w:top w:val="single" w:sz="8" w:space="0" w:color="50D691" w:themeColor="accent5"/>
          <w:bottom w:val="single" w:sz="8" w:space="0" w:color="50D691" w:themeColor="accent5"/>
        </w:tcBorders>
      </w:tcPr>
    </w:tblStylePr>
    <w:tblStylePr w:type="firstCol">
      <w:rPr>
        <w:b/>
        <w:bCs/>
      </w:rPr>
    </w:tblStylePr>
    <w:tblStylePr w:type="lastCol">
      <w:rPr>
        <w:b/>
        <w:bCs/>
      </w:rPr>
      <w:tblPr/>
      <w:tcPr>
        <w:tcBorders>
          <w:top w:val="single" w:sz="8" w:space="0" w:color="50D691" w:themeColor="accent5"/>
          <w:bottom w:val="single" w:sz="8" w:space="0" w:color="50D691" w:themeColor="accent5"/>
        </w:tcBorders>
      </w:tcPr>
    </w:tblStylePr>
    <w:tblStylePr w:type="band1Vert">
      <w:tblPr/>
      <w:tcPr>
        <w:shd w:val="clear" w:color="auto" w:fill="D3F4E3" w:themeFill="accent5" w:themeFillTint="3F"/>
      </w:tcPr>
    </w:tblStylePr>
    <w:tblStylePr w:type="band1Horz">
      <w:tblPr/>
      <w:tcPr>
        <w:shd w:val="clear" w:color="auto" w:fill="D3F4E3" w:themeFill="accent5" w:themeFillTint="3F"/>
      </w:tcPr>
    </w:tblStylePr>
  </w:style>
  <w:style w:type="table" w:styleId="Mediumliste1-fremhvningsfarve6">
    <w:name w:val="Medium List 1 Accent 6"/>
    <w:basedOn w:val="Tabel-Normal"/>
    <w:uiPriority w:val="65"/>
    <w:semiHidden/>
    <w:unhideWhenUsed/>
    <w:rsid w:val="00BC594D"/>
    <w:pPr>
      <w:spacing w:line="240" w:lineRule="auto"/>
    </w:pPr>
    <w:rPr>
      <w:color w:val="000000" w:themeColor="text1"/>
    </w:rPr>
    <w:tblPr>
      <w:tblStyleRowBandSize w:val="1"/>
      <w:tblStyleColBandSize w:val="1"/>
      <w:tblBorders>
        <w:top w:val="single" w:sz="8" w:space="0" w:color="EFCF00" w:themeColor="accent6"/>
        <w:bottom w:val="single" w:sz="8" w:space="0" w:color="EFCF00" w:themeColor="accent6"/>
      </w:tblBorders>
    </w:tblPr>
    <w:tblStylePr w:type="firstRow">
      <w:rPr>
        <w:rFonts w:asciiTheme="majorHAnsi" w:eastAsiaTheme="majorEastAsia" w:hAnsiTheme="majorHAnsi" w:cstheme="majorBidi"/>
      </w:rPr>
      <w:tblPr/>
      <w:tcPr>
        <w:tcBorders>
          <w:top w:val="nil"/>
          <w:bottom w:val="single" w:sz="8" w:space="0" w:color="EFCF00" w:themeColor="accent6"/>
        </w:tcBorders>
      </w:tcPr>
    </w:tblStylePr>
    <w:tblStylePr w:type="lastRow">
      <w:rPr>
        <w:b/>
        <w:bCs/>
        <w:color w:val="FF665E" w:themeColor="text2"/>
      </w:rPr>
      <w:tblPr/>
      <w:tcPr>
        <w:tcBorders>
          <w:top w:val="single" w:sz="8" w:space="0" w:color="EFCF00" w:themeColor="accent6"/>
          <w:bottom w:val="single" w:sz="8" w:space="0" w:color="EFCF00" w:themeColor="accent6"/>
        </w:tcBorders>
      </w:tcPr>
    </w:tblStylePr>
    <w:tblStylePr w:type="firstCol">
      <w:rPr>
        <w:b/>
        <w:bCs/>
      </w:rPr>
    </w:tblStylePr>
    <w:tblStylePr w:type="lastCol">
      <w:rPr>
        <w:b/>
        <w:bCs/>
      </w:rPr>
      <w:tblPr/>
      <w:tcPr>
        <w:tcBorders>
          <w:top w:val="single" w:sz="8" w:space="0" w:color="EFCF00" w:themeColor="accent6"/>
          <w:bottom w:val="single" w:sz="8" w:space="0" w:color="EFCF00" w:themeColor="accent6"/>
        </w:tcBorders>
      </w:tcPr>
    </w:tblStylePr>
    <w:tblStylePr w:type="band1Vert">
      <w:tblPr/>
      <w:tcPr>
        <w:shd w:val="clear" w:color="auto" w:fill="FFF5BC" w:themeFill="accent6" w:themeFillTint="3F"/>
      </w:tcPr>
    </w:tblStylePr>
    <w:tblStylePr w:type="band1Horz">
      <w:tblPr/>
      <w:tcPr>
        <w:shd w:val="clear" w:color="auto" w:fill="FFF5BC" w:themeFill="accent6" w:themeFillTint="3F"/>
      </w:tcPr>
    </w:tblStylePr>
  </w:style>
  <w:style w:type="table" w:styleId="Mediumliste2">
    <w:name w:val="Medium List 2"/>
    <w:basedOn w:val="Tabel-Normal"/>
    <w:uiPriority w:val="66"/>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1">
    <w:name w:val="Medium List 2 Accent 1"/>
    <w:basedOn w:val="Tabel-Normal"/>
    <w:uiPriority w:val="66"/>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B8994" w:themeColor="accent1"/>
        <w:left w:val="single" w:sz="8" w:space="0" w:color="6B8994" w:themeColor="accent1"/>
        <w:bottom w:val="single" w:sz="8" w:space="0" w:color="6B8994" w:themeColor="accent1"/>
        <w:right w:val="single" w:sz="8" w:space="0" w:color="6B8994" w:themeColor="accent1"/>
      </w:tblBorders>
    </w:tblPr>
    <w:tblStylePr w:type="firstRow">
      <w:rPr>
        <w:sz w:val="24"/>
        <w:szCs w:val="24"/>
      </w:rPr>
      <w:tblPr/>
      <w:tcPr>
        <w:tcBorders>
          <w:top w:val="nil"/>
          <w:left w:val="nil"/>
          <w:bottom w:val="single" w:sz="24" w:space="0" w:color="6B899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8994" w:themeColor="accent1"/>
          <w:insideH w:val="nil"/>
          <w:insideV w:val="nil"/>
        </w:tcBorders>
        <w:shd w:val="clear" w:color="auto" w:fill="FFFFFF" w:themeFill="background1"/>
      </w:tcPr>
    </w:tblStylePr>
    <w:tblStylePr w:type="lastCol">
      <w:tblPr/>
      <w:tcPr>
        <w:tcBorders>
          <w:top w:val="nil"/>
          <w:left w:val="single" w:sz="8" w:space="0" w:color="6B899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E1E4" w:themeFill="accent1" w:themeFillTint="3F"/>
      </w:tcPr>
    </w:tblStylePr>
    <w:tblStylePr w:type="band1Horz">
      <w:tblPr/>
      <w:tcPr>
        <w:tcBorders>
          <w:top w:val="nil"/>
          <w:bottom w:val="nil"/>
          <w:insideH w:val="nil"/>
          <w:insideV w:val="nil"/>
        </w:tcBorders>
        <w:shd w:val="clear" w:color="auto" w:fill="DAE1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2">
    <w:name w:val="Medium List 2 Accent 2"/>
    <w:basedOn w:val="Tabel-Normal"/>
    <w:uiPriority w:val="66"/>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5978" w:themeColor="accent2"/>
        <w:left w:val="single" w:sz="8" w:space="0" w:color="005978" w:themeColor="accent2"/>
        <w:bottom w:val="single" w:sz="8" w:space="0" w:color="005978" w:themeColor="accent2"/>
        <w:right w:val="single" w:sz="8" w:space="0" w:color="005978" w:themeColor="accent2"/>
      </w:tblBorders>
    </w:tblPr>
    <w:tblStylePr w:type="firstRow">
      <w:rPr>
        <w:sz w:val="24"/>
        <w:szCs w:val="24"/>
      </w:rPr>
      <w:tblPr/>
      <w:tcPr>
        <w:tcBorders>
          <w:top w:val="nil"/>
          <w:left w:val="nil"/>
          <w:bottom w:val="single" w:sz="24" w:space="0" w:color="005978"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978" w:themeColor="accent2"/>
          <w:insideH w:val="nil"/>
          <w:insideV w:val="nil"/>
        </w:tcBorders>
        <w:shd w:val="clear" w:color="auto" w:fill="FFFFFF" w:themeFill="background1"/>
      </w:tcPr>
    </w:tblStylePr>
    <w:tblStylePr w:type="lastCol">
      <w:tblPr/>
      <w:tcPr>
        <w:tcBorders>
          <w:top w:val="nil"/>
          <w:left w:val="single" w:sz="8" w:space="0" w:color="00597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EE5FF" w:themeFill="accent2" w:themeFillTint="3F"/>
      </w:tcPr>
    </w:tblStylePr>
    <w:tblStylePr w:type="band1Horz">
      <w:tblPr/>
      <w:tcPr>
        <w:tcBorders>
          <w:top w:val="nil"/>
          <w:bottom w:val="nil"/>
          <w:insideH w:val="nil"/>
          <w:insideV w:val="nil"/>
        </w:tcBorders>
        <w:shd w:val="clear" w:color="auto" w:fill="9EE5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3">
    <w:name w:val="Medium List 2 Accent 3"/>
    <w:basedOn w:val="Tabel-Normal"/>
    <w:uiPriority w:val="66"/>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AD2F1" w:themeColor="accent3"/>
        <w:left w:val="single" w:sz="8" w:space="0" w:color="8AD2F1" w:themeColor="accent3"/>
        <w:bottom w:val="single" w:sz="8" w:space="0" w:color="8AD2F1" w:themeColor="accent3"/>
        <w:right w:val="single" w:sz="8" w:space="0" w:color="8AD2F1" w:themeColor="accent3"/>
      </w:tblBorders>
    </w:tblPr>
    <w:tblStylePr w:type="firstRow">
      <w:rPr>
        <w:sz w:val="24"/>
        <w:szCs w:val="24"/>
      </w:rPr>
      <w:tblPr/>
      <w:tcPr>
        <w:tcBorders>
          <w:top w:val="nil"/>
          <w:left w:val="nil"/>
          <w:bottom w:val="single" w:sz="24" w:space="0" w:color="8AD2F1"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AD2F1" w:themeColor="accent3"/>
          <w:insideH w:val="nil"/>
          <w:insideV w:val="nil"/>
        </w:tcBorders>
        <w:shd w:val="clear" w:color="auto" w:fill="FFFFFF" w:themeFill="background1"/>
      </w:tcPr>
    </w:tblStylePr>
    <w:tblStylePr w:type="lastCol">
      <w:tblPr/>
      <w:tcPr>
        <w:tcBorders>
          <w:top w:val="nil"/>
          <w:left w:val="single" w:sz="8" w:space="0" w:color="8AD2F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3FB" w:themeFill="accent3" w:themeFillTint="3F"/>
      </w:tcPr>
    </w:tblStylePr>
    <w:tblStylePr w:type="band1Horz">
      <w:tblPr/>
      <w:tcPr>
        <w:tcBorders>
          <w:top w:val="nil"/>
          <w:bottom w:val="nil"/>
          <w:insideH w:val="nil"/>
          <w:insideV w:val="nil"/>
        </w:tcBorders>
        <w:shd w:val="clear" w:color="auto" w:fill="E1F3F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4">
    <w:name w:val="Medium List 2 Accent 4"/>
    <w:basedOn w:val="Tabel-Normal"/>
    <w:uiPriority w:val="66"/>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A763" w:themeColor="accent4"/>
        <w:left w:val="single" w:sz="8" w:space="0" w:color="FFA763" w:themeColor="accent4"/>
        <w:bottom w:val="single" w:sz="8" w:space="0" w:color="FFA763" w:themeColor="accent4"/>
        <w:right w:val="single" w:sz="8" w:space="0" w:color="FFA763" w:themeColor="accent4"/>
      </w:tblBorders>
    </w:tblPr>
    <w:tblStylePr w:type="firstRow">
      <w:rPr>
        <w:sz w:val="24"/>
        <w:szCs w:val="24"/>
      </w:rPr>
      <w:tblPr/>
      <w:tcPr>
        <w:tcBorders>
          <w:top w:val="nil"/>
          <w:left w:val="nil"/>
          <w:bottom w:val="single" w:sz="24" w:space="0" w:color="FFA763"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A763" w:themeColor="accent4"/>
          <w:insideH w:val="nil"/>
          <w:insideV w:val="nil"/>
        </w:tcBorders>
        <w:shd w:val="clear" w:color="auto" w:fill="FFFFFF" w:themeFill="background1"/>
      </w:tcPr>
    </w:tblStylePr>
    <w:tblStylePr w:type="lastCol">
      <w:tblPr/>
      <w:tcPr>
        <w:tcBorders>
          <w:top w:val="nil"/>
          <w:left w:val="single" w:sz="8" w:space="0" w:color="FFA763"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9D8" w:themeFill="accent4" w:themeFillTint="3F"/>
      </w:tcPr>
    </w:tblStylePr>
    <w:tblStylePr w:type="band1Horz">
      <w:tblPr/>
      <w:tcPr>
        <w:tcBorders>
          <w:top w:val="nil"/>
          <w:bottom w:val="nil"/>
          <w:insideH w:val="nil"/>
          <w:insideV w:val="nil"/>
        </w:tcBorders>
        <w:shd w:val="clear" w:color="auto" w:fill="FFE9D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5">
    <w:name w:val="Medium List 2 Accent 5"/>
    <w:basedOn w:val="Tabel-Normal"/>
    <w:uiPriority w:val="66"/>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0D691" w:themeColor="accent5"/>
        <w:left w:val="single" w:sz="8" w:space="0" w:color="50D691" w:themeColor="accent5"/>
        <w:bottom w:val="single" w:sz="8" w:space="0" w:color="50D691" w:themeColor="accent5"/>
        <w:right w:val="single" w:sz="8" w:space="0" w:color="50D691" w:themeColor="accent5"/>
      </w:tblBorders>
    </w:tblPr>
    <w:tblStylePr w:type="firstRow">
      <w:rPr>
        <w:sz w:val="24"/>
        <w:szCs w:val="24"/>
      </w:rPr>
      <w:tblPr/>
      <w:tcPr>
        <w:tcBorders>
          <w:top w:val="nil"/>
          <w:left w:val="nil"/>
          <w:bottom w:val="single" w:sz="24" w:space="0" w:color="50D691"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D691" w:themeColor="accent5"/>
          <w:insideH w:val="nil"/>
          <w:insideV w:val="nil"/>
        </w:tcBorders>
        <w:shd w:val="clear" w:color="auto" w:fill="FFFFFF" w:themeFill="background1"/>
      </w:tcPr>
    </w:tblStylePr>
    <w:tblStylePr w:type="lastCol">
      <w:tblPr/>
      <w:tcPr>
        <w:tcBorders>
          <w:top w:val="nil"/>
          <w:left w:val="single" w:sz="8" w:space="0" w:color="50D691"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F4E3" w:themeFill="accent5" w:themeFillTint="3F"/>
      </w:tcPr>
    </w:tblStylePr>
    <w:tblStylePr w:type="band1Horz">
      <w:tblPr/>
      <w:tcPr>
        <w:tcBorders>
          <w:top w:val="nil"/>
          <w:bottom w:val="nil"/>
          <w:insideH w:val="nil"/>
          <w:insideV w:val="nil"/>
        </w:tcBorders>
        <w:shd w:val="clear" w:color="auto" w:fill="D3F4E3"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6">
    <w:name w:val="Medium List 2 Accent 6"/>
    <w:basedOn w:val="Tabel-Normal"/>
    <w:uiPriority w:val="66"/>
    <w:semiHidden/>
    <w:unhideWhenUsed/>
    <w:rsid w:val="00BC594D"/>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FCF00" w:themeColor="accent6"/>
        <w:left w:val="single" w:sz="8" w:space="0" w:color="EFCF00" w:themeColor="accent6"/>
        <w:bottom w:val="single" w:sz="8" w:space="0" w:color="EFCF00" w:themeColor="accent6"/>
        <w:right w:val="single" w:sz="8" w:space="0" w:color="EFCF00" w:themeColor="accent6"/>
      </w:tblBorders>
    </w:tblPr>
    <w:tblStylePr w:type="firstRow">
      <w:rPr>
        <w:sz w:val="24"/>
        <w:szCs w:val="24"/>
      </w:rPr>
      <w:tblPr/>
      <w:tcPr>
        <w:tcBorders>
          <w:top w:val="nil"/>
          <w:left w:val="nil"/>
          <w:bottom w:val="single" w:sz="24" w:space="0" w:color="EFCF00"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FCF00" w:themeColor="accent6"/>
          <w:insideH w:val="nil"/>
          <w:insideV w:val="nil"/>
        </w:tcBorders>
        <w:shd w:val="clear" w:color="auto" w:fill="FFFFFF" w:themeFill="background1"/>
      </w:tcPr>
    </w:tblStylePr>
    <w:tblStylePr w:type="lastCol">
      <w:tblPr/>
      <w:tcPr>
        <w:tcBorders>
          <w:top w:val="nil"/>
          <w:left w:val="single" w:sz="8" w:space="0" w:color="EFCF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BC" w:themeFill="accent6" w:themeFillTint="3F"/>
      </w:tcPr>
    </w:tblStylePr>
    <w:tblStylePr w:type="band1Horz">
      <w:tblPr/>
      <w:tcPr>
        <w:tcBorders>
          <w:top w:val="nil"/>
          <w:bottom w:val="nil"/>
          <w:insideH w:val="nil"/>
          <w:insideV w:val="nil"/>
        </w:tcBorders>
        <w:shd w:val="clear" w:color="auto" w:fill="FFF5B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kygge1">
    <w:name w:val="Medium Shading 1"/>
    <w:basedOn w:val="Tabel-Normal"/>
    <w:uiPriority w:val="63"/>
    <w:semiHidden/>
    <w:unhideWhenUsed/>
    <w:rsid w:val="00BC594D"/>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kygge1-farve1">
    <w:name w:val="Medium Shading 1 Accent 1"/>
    <w:basedOn w:val="Tabel-Normal"/>
    <w:uiPriority w:val="63"/>
    <w:semiHidden/>
    <w:unhideWhenUsed/>
    <w:rsid w:val="00BC594D"/>
    <w:pPr>
      <w:spacing w:line="240" w:lineRule="auto"/>
    </w:pPr>
    <w:tblPr>
      <w:tblStyleRowBandSize w:val="1"/>
      <w:tblStyleColBandSize w:val="1"/>
      <w:tblBorders>
        <w:top w:val="single" w:sz="8" w:space="0" w:color="90A6AF" w:themeColor="accent1" w:themeTint="BF"/>
        <w:left w:val="single" w:sz="8" w:space="0" w:color="90A6AF" w:themeColor="accent1" w:themeTint="BF"/>
        <w:bottom w:val="single" w:sz="8" w:space="0" w:color="90A6AF" w:themeColor="accent1" w:themeTint="BF"/>
        <w:right w:val="single" w:sz="8" w:space="0" w:color="90A6AF" w:themeColor="accent1" w:themeTint="BF"/>
        <w:insideH w:val="single" w:sz="8" w:space="0" w:color="90A6AF" w:themeColor="accent1" w:themeTint="BF"/>
      </w:tblBorders>
    </w:tblPr>
    <w:tblStylePr w:type="firstRow">
      <w:pPr>
        <w:spacing w:before="0" w:after="0" w:line="240" w:lineRule="auto"/>
      </w:pPr>
      <w:rPr>
        <w:b/>
        <w:bCs/>
        <w:color w:val="FFFFFF" w:themeColor="background1"/>
      </w:rPr>
      <w:tblPr/>
      <w:tcPr>
        <w:tcBorders>
          <w:top w:val="single" w:sz="8" w:space="0" w:color="90A6AF" w:themeColor="accent1" w:themeTint="BF"/>
          <w:left w:val="single" w:sz="8" w:space="0" w:color="90A6AF" w:themeColor="accent1" w:themeTint="BF"/>
          <w:bottom w:val="single" w:sz="8" w:space="0" w:color="90A6AF" w:themeColor="accent1" w:themeTint="BF"/>
          <w:right w:val="single" w:sz="8" w:space="0" w:color="90A6AF" w:themeColor="accent1" w:themeTint="BF"/>
          <w:insideH w:val="nil"/>
          <w:insideV w:val="nil"/>
        </w:tcBorders>
        <w:shd w:val="clear" w:color="auto" w:fill="6B8994" w:themeFill="accent1"/>
      </w:tcPr>
    </w:tblStylePr>
    <w:tblStylePr w:type="lastRow">
      <w:pPr>
        <w:spacing w:before="0" w:after="0" w:line="240" w:lineRule="auto"/>
      </w:pPr>
      <w:rPr>
        <w:b/>
        <w:bCs/>
      </w:rPr>
      <w:tblPr/>
      <w:tcPr>
        <w:tcBorders>
          <w:top w:val="double" w:sz="6" w:space="0" w:color="90A6AF" w:themeColor="accent1" w:themeTint="BF"/>
          <w:left w:val="single" w:sz="8" w:space="0" w:color="90A6AF" w:themeColor="accent1" w:themeTint="BF"/>
          <w:bottom w:val="single" w:sz="8" w:space="0" w:color="90A6AF" w:themeColor="accent1" w:themeTint="BF"/>
          <w:right w:val="single" w:sz="8" w:space="0" w:color="90A6A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AE1E4" w:themeFill="accent1" w:themeFillTint="3F"/>
      </w:tcPr>
    </w:tblStylePr>
    <w:tblStylePr w:type="band1Horz">
      <w:tblPr/>
      <w:tcPr>
        <w:tcBorders>
          <w:insideH w:val="nil"/>
          <w:insideV w:val="nil"/>
        </w:tcBorders>
        <w:shd w:val="clear" w:color="auto" w:fill="DAE1E4" w:themeFill="accent1" w:themeFillTint="3F"/>
      </w:tcPr>
    </w:tblStylePr>
    <w:tblStylePr w:type="band2Horz">
      <w:tblPr/>
      <w:tcPr>
        <w:tcBorders>
          <w:insideH w:val="nil"/>
          <w:insideV w:val="nil"/>
        </w:tcBorders>
      </w:tcPr>
    </w:tblStylePr>
  </w:style>
  <w:style w:type="table" w:styleId="Mediumskygge1-fremhvningsfarve2">
    <w:name w:val="Medium Shading 1 Accent 2"/>
    <w:basedOn w:val="Tabel-Normal"/>
    <w:uiPriority w:val="63"/>
    <w:semiHidden/>
    <w:unhideWhenUsed/>
    <w:rsid w:val="00BC594D"/>
    <w:pPr>
      <w:spacing w:line="240" w:lineRule="auto"/>
    </w:pPr>
    <w:tblPr>
      <w:tblStyleRowBandSize w:val="1"/>
      <w:tblStyleColBandSize w:val="1"/>
      <w:tblBorders>
        <w:top w:val="single" w:sz="8" w:space="0" w:color="00A1D9" w:themeColor="accent2" w:themeTint="BF"/>
        <w:left w:val="single" w:sz="8" w:space="0" w:color="00A1D9" w:themeColor="accent2" w:themeTint="BF"/>
        <w:bottom w:val="single" w:sz="8" w:space="0" w:color="00A1D9" w:themeColor="accent2" w:themeTint="BF"/>
        <w:right w:val="single" w:sz="8" w:space="0" w:color="00A1D9" w:themeColor="accent2" w:themeTint="BF"/>
        <w:insideH w:val="single" w:sz="8" w:space="0" w:color="00A1D9" w:themeColor="accent2" w:themeTint="BF"/>
      </w:tblBorders>
    </w:tblPr>
    <w:tblStylePr w:type="firstRow">
      <w:pPr>
        <w:spacing w:before="0" w:after="0" w:line="240" w:lineRule="auto"/>
      </w:pPr>
      <w:rPr>
        <w:b/>
        <w:bCs/>
        <w:color w:val="FFFFFF" w:themeColor="background1"/>
      </w:rPr>
      <w:tblPr/>
      <w:tcPr>
        <w:tcBorders>
          <w:top w:val="single" w:sz="8" w:space="0" w:color="00A1D9" w:themeColor="accent2" w:themeTint="BF"/>
          <w:left w:val="single" w:sz="8" w:space="0" w:color="00A1D9" w:themeColor="accent2" w:themeTint="BF"/>
          <w:bottom w:val="single" w:sz="8" w:space="0" w:color="00A1D9" w:themeColor="accent2" w:themeTint="BF"/>
          <w:right w:val="single" w:sz="8" w:space="0" w:color="00A1D9" w:themeColor="accent2" w:themeTint="BF"/>
          <w:insideH w:val="nil"/>
          <w:insideV w:val="nil"/>
        </w:tcBorders>
        <w:shd w:val="clear" w:color="auto" w:fill="005978" w:themeFill="accent2"/>
      </w:tcPr>
    </w:tblStylePr>
    <w:tblStylePr w:type="lastRow">
      <w:pPr>
        <w:spacing w:before="0" w:after="0" w:line="240" w:lineRule="auto"/>
      </w:pPr>
      <w:rPr>
        <w:b/>
        <w:bCs/>
      </w:rPr>
      <w:tblPr/>
      <w:tcPr>
        <w:tcBorders>
          <w:top w:val="double" w:sz="6" w:space="0" w:color="00A1D9" w:themeColor="accent2" w:themeTint="BF"/>
          <w:left w:val="single" w:sz="8" w:space="0" w:color="00A1D9" w:themeColor="accent2" w:themeTint="BF"/>
          <w:bottom w:val="single" w:sz="8" w:space="0" w:color="00A1D9" w:themeColor="accent2" w:themeTint="BF"/>
          <w:right w:val="single" w:sz="8" w:space="0" w:color="00A1D9" w:themeColor="accent2" w:themeTint="BF"/>
          <w:insideH w:val="nil"/>
          <w:insideV w:val="nil"/>
        </w:tcBorders>
      </w:tcPr>
    </w:tblStylePr>
    <w:tblStylePr w:type="firstCol">
      <w:rPr>
        <w:b/>
        <w:bCs/>
      </w:rPr>
    </w:tblStylePr>
    <w:tblStylePr w:type="lastCol">
      <w:rPr>
        <w:b/>
        <w:bCs/>
      </w:rPr>
    </w:tblStylePr>
    <w:tblStylePr w:type="band1Vert">
      <w:tblPr/>
      <w:tcPr>
        <w:shd w:val="clear" w:color="auto" w:fill="9EE5FF" w:themeFill="accent2" w:themeFillTint="3F"/>
      </w:tcPr>
    </w:tblStylePr>
    <w:tblStylePr w:type="band1Horz">
      <w:tblPr/>
      <w:tcPr>
        <w:tcBorders>
          <w:insideH w:val="nil"/>
          <w:insideV w:val="nil"/>
        </w:tcBorders>
        <w:shd w:val="clear" w:color="auto" w:fill="9EE5FF" w:themeFill="accent2" w:themeFillTint="3F"/>
      </w:tcPr>
    </w:tblStylePr>
    <w:tblStylePr w:type="band2Horz">
      <w:tblPr/>
      <w:tcPr>
        <w:tcBorders>
          <w:insideH w:val="nil"/>
          <w:insideV w:val="nil"/>
        </w:tcBorders>
      </w:tcPr>
    </w:tblStylePr>
  </w:style>
  <w:style w:type="table" w:styleId="Mediumskygge1-fremhvningsfarve3">
    <w:name w:val="Medium Shading 1 Accent 3"/>
    <w:basedOn w:val="Tabel-Normal"/>
    <w:uiPriority w:val="63"/>
    <w:semiHidden/>
    <w:unhideWhenUsed/>
    <w:rsid w:val="00BC594D"/>
    <w:pPr>
      <w:spacing w:line="240" w:lineRule="auto"/>
    </w:pPr>
    <w:tblPr>
      <w:tblStyleRowBandSize w:val="1"/>
      <w:tblStyleColBandSize w:val="1"/>
      <w:tblBorders>
        <w:top w:val="single" w:sz="8" w:space="0" w:color="A7DDF4" w:themeColor="accent3" w:themeTint="BF"/>
        <w:left w:val="single" w:sz="8" w:space="0" w:color="A7DDF4" w:themeColor="accent3" w:themeTint="BF"/>
        <w:bottom w:val="single" w:sz="8" w:space="0" w:color="A7DDF4" w:themeColor="accent3" w:themeTint="BF"/>
        <w:right w:val="single" w:sz="8" w:space="0" w:color="A7DDF4" w:themeColor="accent3" w:themeTint="BF"/>
        <w:insideH w:val="single" w:sz="8" w:space="0" w:color="A7DDF4" w:themeColor="accent3" w:themeTint="BF"/>
      </w:tblBorders>
    </w:tblPr>
    <w:tblStylePr w:type="firstRow">
      <w:pPr>
        <w:spacing w:before="0" w:after="0" w:line="240" w:lineRule="auto"/>
      </w:pPr>
      <w:rPr>
        <w:b/>
        <w:bCs/>
        <w:color w:val="FFFFFF" w:themeColor="background1"/>
      </w:rPr>
      <w:tblPr/>
      <w:tcPr>
        <w:tcBorders>
          <w:top w:val="single" w:sz="8" w:space="0" w:color="A7DDF4" w:themeColor="accent3" w:themeTint="BF"/>
          <w:left w:val="single" w:sz="8" w:space="0" w:color="A7DDF4" w:themeColor="accent3" w:themeTint="BF"/>
          <w:bottom w:val="single" w:sz="8" w:space="0" w:color="A7DDF4" w:themeColor="accent3" w:themeTint="BF"/>
          <w:right w:val="single" w:sz="8" w:space="0" w:color="A7DDF4" w:themeColor="accent3" w:themeTint="BF"/>
          <w:insideH w:val="nil"/>
          <w:insideV w:val="nil"/>
        </w:tcBorders>
        <w:shd w:val="clear" w:color="auto" w:fill="8AD2F1" w:themeFill="accent3"/>
      </w:tcPr>
    </w:tblStylePr>
    <w:tblStylePr w:type="lastRow">
      <w:pPr>
        <w:spacing w:before="0" w:after="0" w:line="240" w:lineRule="auto"/>
      </w:pPr>
      <w:rPr>
        <w:b/>
        <w:bCs/>
      </w:rPr>
      <w:tblPr/>
      <w:tcPr>
        <w:tcBorders>
          <w:top w:val="double" w:sz="6" w:space="0" w:color="A7DDF4" w:themeColor="accent3" w:themeTint="BF"/>
          <w:left w:val="single" w:sz="8" w:space="0" w:color="A7DDF4" w:themeColor="accent3" w:themeTint="BF"/>
          <w:bottom w:val="single" w:sz="8" w:space="0" w:color="A7DDF4" w:themeColor="accent3" w:themeTint="BF"/>
          <w:right w:val="single" w:sz="8" w:space="0" w:color="A7DDF4" w:themeColor="accent3" w:themeTint="BF"/>
          <w:insideH w:val="nil"/>
          <w:insideV w:val="nil"/>
        </w:tcBorders>
      </w:tcPr>
    </w:tblStylePr>
    <w:tblStylePr w:type="firstCol">
      <w:rPr>
        <w:b/>
        <w:bCs/>
      </w:rPr>
    </w:tblStylePr>
    <w:tblStylePr w:type="lastCol">
      <w:rPr>
        <w:b/>
        <w:bCs/>
      </w:rPr>
    </w:tblStylePr>
    <w:tblStylePr w:type="band1Vert">
      <w:tblPr/>
      <w:tcPr>
        <w:shd w:val="clear" w:color="auto" w:fill="E1F3FB" w:themeFill="accent3" w:themeFillTint="3F"/>
      </w:tcPr>
    </w:tblStylePr>
    <w:tblStylePr w:type="band1Horz">
      <w:tblPr/>
      <w:tcPr>
        <w:tcBorders>
          <w:insideH w:val="nil"/>
          <w:insideV w:val="nil"/>
        </w:tcBorders>
        <w:shd w:val="clear" w:color="auto" w:fill="E1F3FB" w:themeFill="accent3" w:themeFillTint="3F"/>
      </w:tcPr>
    </w:tblStylePr>
    <w:tblStylePr w:type="band2Horz">
      <w:tblPr/>
      <w:tcPr>
        <w:tcBorders>
          <w:insideH w:val="nil"/>
          <w:insideV w:val="nil"/>
        </w:tcBorders>
      </w:tcPr>
    </w:tblStylePr>
  </w:style>
  <w:style w:type="table" w:styleId="Mediumskygge1-fremhvningsfarve4">
    <w:name w:val="Medium Shading 1 Accent 4"/>
    <w:basedOn w:val="Tabel-Normal"/>
    <w:uiPriority w:val="63"/>
    <w:semiHidden/>
    <w:unhideWhenUsed/>
    <w:rsid w:val="00BC594D"/>
    <w:pPr>
      <w:spacing w:line="240" w:lineRule="auto"/>
    </w:pPr>
    <w:tblPr>
      <w:tblStyleRowBandSize w:val="1"/>
      <w:tblStyleColBandSize w:val="1"/>
      <w:tblBorders>
        <w:top w:val="single" w:sz="8" w:space="0" w:color="FFBC8A" w:themeColor="accent4" w:themeTint="BF"/>
        <w:left w:val="single" w:sz="8" w:space="0" w:color="FFBC8A" w:themeColor="accent4" w:themeTint="BF"/>
        <w:bottom w:val="single" w:sz="8" w:space="0" w:color="FFBC8A" w:themeColor="accent4" w:themeTint="BF"/>
        <w:right w:val="single" w:sz="8" w:space="0" w:color="FFBC8A" w:themeColor="accent4" w:themeTint="BF"/>
        <w:insideH w:val="single" w:sz="8" w:space="0" w:color="FFBC8A" w:themeColor="accent4" w:themeTint="BF"/>
      </w:tblBorders>
    </w:tblPr>
    <w:tblStylePr w:type="firstRow">
      <w:pPr>
        <w:spacing w:before="0" w:after="0" w:line="240" w:lineRule="auto"/>
      </w:pPr>
      <w:rPr>
        <w:b/>
        <w:bCs/>
        <w:color w:val="FFFFFF" w:themeColor="background1"/>
      </w:rPr>
      <w:tblPr/>
      <w:tcPr>
        <w:tcBorders>
          <w:top w:val="single" w:sz="8" w:space="0" w:color="FFBC8A" w:themeColor="accent4" w:themeTint="BF"/>
          <w:left w:val="single" w:sz="8" w:space="0" w:color="FFBC8A" w:themeColor="accent4" w:themeTint="BF"/>
          <w:bottom w:val="single" w:sz="8" w:space="0" w:color="FFBC8A" w:themeColor="accent4" w:themeTint="BF"/>
          <w:right w:val="single" w:sz="8" w:space="0" w:color="FFBC8A" w:themeColor="accent4" w:themeTint="BF"/>
          <w:insideH w:val="nil"/>
          <w:insideV w:val="nil"/>
        </w:tcBorders>
        <w:shd w:val="clear" w:color="auto" w:fill="FFA763" w:themeFill="accent4"/>
      </w:tcPr>
    </w:tblStylePr>
    <w:tblStylePr w:type="lastRow">
      <w:pPr>
        <w:spacing w:before="0" w:after="0" w:line="240" w:lineRule="auto"/>
      </w:pPr>
      <w:rPr>
        <w:b/>
        <w:bCs/>
      </w:rPr>
      <w:tblPr/>
      <w:tcPr>
        <w:tcBorders>
          <w:top w:val="double" w:sz="6" w:space="0" w:color="FFBC8A" w:themeColor="accent4" w:themeTint="BF"/>
          <w:left w:val="single" w:sz="8" w:space="0" w:color="FFBC8A" w:themeColor="accent4" w:themeTint="BF"/>
          <w:bottom w:val="single" w:sz="8" w:space="0" w:color="FFBC8A" w:themeColor="accent4" w:themeTint="BF"/>
          <w:right w:val="single" w:sz="8" w:space="0" w:color="FFBC8A"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D8" w:themeFill="accent4" w:themeFillTint="3F"/>
      </w:tcPr>
    </w:tblStylePr>
    <w:tblStylePr w:type="band1Horz">
      <w:tblPr/>
      <w:tcPr>
        <w:tcBorders>
          <w:insideH w:val="nil"/>
          <w:insideV w:val="nil"/>
        </w:tcBorders>
        <w:shd w:val="clear" w:color="auto" w:fill="FFE9D8" w:themeFill="accent4" w:themeFillTint="3F"/>
      </w:tcPr>
    </w:tblStylePr>
    <w:tblStylePr w:type="band2Horz">
      <w:tblPr/>
      <w:tcPr>
        <w:tcBorders>
          <w:insideH w:val="nil"/>
          <w:insideV w:val="nil"/>
        </w:tcBorders>
      </w:tcPr>
    </w:tblStylePr>
  </w:style>
  <w:style w:type="table" w:styleId="Mediumskygge1-fremhvningsfarve5">
    <w:name w:val="Medium Shading 1 Accent 5"/>
    <w:basedOn w:val="Tabel-Normal"/>
    <w:uiPriority w:val="63"/>
    <w:semiHidden/>
    <w:unhideWhenUsed/>
    <w:rsid w:val="00BC594D"/>
    <w:pPr>
      <w:spacing w:line="240" w:lineRule="auto"/>
    </w:pPr>
    <w:tblPr>
      <w:tblStyleRowBandSize w:val="1"/>
      <w:tblStyleColBandSize w:val="1"/>
      <w:tblBorders>
        <w:top w:val="single" w:sz="8" w:space="0" w:color="7BE0AC" w:themeColor="accent5" w:themeTint="BF"/>
        <w:left w:val="single" w:sz="8" w:space="0" w:color="7BE0AC" w:themeColor="accent5" w:themeTint="BF"/>
        <w:bottom w:val="single" w:sz="8" w:space="0" w:color="7BE0AC" w:themeColor="accent5" w:themeTint="BF"/>
        <w:right w:val="single" w:sz="8" w:space="0" w:color="7BE0AC" w:themeColor="accent5" w:themeTint="BF"/>
        <w:insideH w:val="single" w:sz="8" w:space="0" w:color="7BE0AC" w:themeColor="accent5" w:themeTint="BF"/>
      </w:tblBorders>
    </w:tblPr>
    <w:tblStylePr w:type="firstRow">
      <w:pPr>
        <w:spacing w:before="0" w:after="0" w:line="240" w:lineRule="auto"/>
      </w:pPr>
      <w:rPr>
        <w:b/>
        <w:bCs/>
        <w:color w:val="FFFFFF" w:themeColor="background1"/>
      </w:rPr>
      <w:tblPr/>
      <w:tcPr>
        <w:tcBorders>
          <w:top w:val="single" w:sz="8" w:space="0" w:color="7BE0AC" w:themeColor="accent5" w:themeTint="BF"/>
          <w:left w:val="single" w:sz="8" w:space="0" w:color="7BE0AC" w:themeColor="accent5" w:themeTint="BF"/>
          <w:bottom w:val="single" w:sz="8" w:space="0" w:color="7BE0AC" w:themeColor="accent5" w:themeTint="BF"/>
          <w:right w:val="single" w:sz="8" w:space="0" w:color="7BE0AC" w:themeColor="accent5" w:themeTint="BF"/>
          <w:insideH w:val="nil"/>
          <w:insideV w:val="nil"/>
        </w:tcBorders>
        <w:shd w:val="clear" w:color="auto" w:fill="50D691" w:themeFill="accent5"/>
      </w:tcPr>
    </w:tblStylePr>
    <w:tblStylePr w:type="lastRow">
      <w:pPr>
        <w:spacing w:before="0" w:after="0" w:line="240" w:lineRule="auto"/>
      </w:pPr>
      <w:rPr>
        <w:b/>
        <w:bCs/>
      </w:rPr>
      <w:tblPr/>
      <w:tcPr>
        <w:tcBorders>
          <w:top w:val="double" w:sz="6" w:space="0" w:color="7BE0AC" w:themeColor="accent5" w:themeTint="BF"/>
          <w:left w:val="single" w:sz="8" w:space="0" w:color="7BE0AC" w:themeColor="accent5" w:themeTint="BF"/>
          <w:bottom w:val="single" w:sz="8" w:space="0" w:color="7BE0AC" w:themeColor="accent5" w:themeTint="BF"/>
          <w:right w:val="single" w:sz="8" w:space="0" w:color="7BE0AC" w:themeColor="accent5" w:themeTint="BF"/>
          <w:insideH w:val="nil"/>
          <w:insideV w:val="nil"/>
        </w:tcBorders>
      </w:tcPr>
    </w:tblStylePr>
    <w:tblStylePr w:type="firstCol">
      <w:rPr>
        <w:b/>
        <w:bCs/>
      </w:rPr>
    </w:tblStylePr>
    <w:tblStylePr w:type="lastCol">
      <w:rPr>
        <w:b/>
        <w:bCs/>
      </w:rPr>
    </w:tblStylePr>
    <w:tblStylePr w:type="band1Vert">
      <w:tblPr/>
      <w:tcPr>
        <w:shd w:val="clear" w:color="auto" w:fill="D3F4E3" w:themeFill="accent5" w:themeFillTint="3F"/>
      </w:tcPr>
    </w:tblStylePr>
    <w:tblStylePr w:type="band1Horz">
      <w:tblPr/>
      <w:tcPr>
        <w:tcBorders>
          <w:insideH w:val="nil"/>
          <w:insideV w:val="nil"/>
        </w:tcBorders>
        <w:shd w:val="clear" w:color="auto" w:fill="D3F4E3" w:themeFill="accent5" w:themeFillTint="3F"/>
      </w:tcPr>
    </w:tblStylePr>
    <w:tblStylePr w:type="band2Horz">
      <w:tblPr/>
      <w:tcPr>
        <w:tcBorders>
          <w:insideH w:val="nil"/>
          <w:insideV w:val="nil"/>
        </w:tcBorders>
      </w:tcPr>
    </w:tblStylePr>
  </w:style>
  <w:style w:type="table" w:styleId="Mediumskygge1-fremhvningsfarve6">
    <w:name w:val="Medium Shading 1 Accent 6"/>
    <w:basedOn w:val="Tabel-Normal"/>
    <w:uiPriority w:val="63"/>
    <w:semiHidden/>
    <w:unhideWhenUsed/>
    <w:rsid w:val="00BC594D"/>
    <w:pPr>
      <w:spacing w:line="240" w:lineRule="auto"/>
    </w:pPr>
    <w:tblPr>
      <w:tblStyleRowBandSize w:val="1"/>
      <w:tblStyleColBandSize w:val="1"/>
      <w:tblBorders>
        <w:top w:val="single" w:sz="8" w:space="0" w:color="FFE334" w:themeColor="accent6" w:themeTint="BF"/>
        <w:left w:val="single" w:sz="8" w:space="0" w:color="FFE334" w:themeColor="accent6" w:themeTint="BF"/>
        <w:bottom w:val="single" w:sz="8" w:space="0" w:color="FFE334" w:themeColor="accent6" w:themeTint="BF"/>
        <w:right w:val="single" w:sz="8" w:space="0" w:color="FFE334" w:themeColor="accent6" w:themeTint="BF"/>
        <w:insideH w:val="single" w:sz="8" w:space="0" w:color="FFE334" w:themeColor="accent6" w:themeTint="BF"/>
      </w:tblBorders>
    </w:tblPr>
    <w:tblStylePr w:type="firstRow">
      <w:pPr>
        <w:spacing w:before="0" w:after="0" w:line="240" w:lineRule="auto"/>
      </w:pPr>
      <w:rPr>
        <w:b/>
        <w:bCs/>
        <w:color w:val="FFFFFF" w:themeColor="background1"/>
      </w:rPr>
      <w:tblPr/>
      <w:tcPr>
        <w:tcBorders>
          <w:top w:val="single" w:sz="8" w:space="0" w:color="FFE334" w:themeColor="accent6" w:themeTint="BF"/>
          <w:left w:val="single" w:sz="8" w:space="0" w:color="FFE334" w:themeColor="accent6" w:themeTint="BF"/>
          <w:bottom w:val="single" w:sz="8" w:space="0" w:color="FFE334" w:themeColor="accent6" w:themeTint="BF"/>
          <w:right w:val="single" w:sz="8" w:space="0" w:color="FFE334" w:themeColor="accent6" w:themeTint="BF"/>
          <w:insideH w:val="nil"/>
          <w:insideV w:val="nil"/>
        </w:tcBorders>
        <w:shd w:val="clear" w:color="auto" w:fill="EFCF00" w:themeFill="accent6"/>
      </w:tcPr>
    </w:tblStylePr>
    <w:tblStylePr w:type="lastRow">
      <w:pPr>
        <w:spacing w:before="0" w:after="0" w:line="240" w:lineRule="auto"/>
      </w:pPr>
      <w:rPr>
        <w:b/>
        <w:bCs/>
      </w:rPr>
      <w:tblPr/>
      <w:tcPr>
        <w:tcBorders>
          <w:top w:val="double" w:sz="6" w:space="0" w:color="FFE334" w:themeColor="accent6" w:themeTint="BF"/>
          <w:left w:val="single" w:sz="8" w:space="0" w:color="FFE334" w:themeColor="accent6" w:themeTint="BF"/>
          <w:bottom w:val="single" w:sz="8" w:space="0" w:color="FFE334" w:themeColor="accent6" w:themeTint="BF"/>
          <w:right w:val="single" w:sz="8" w:space="0" w:color="FFE33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5BC" w:themeFill="accent6" w:themeFillTint="3F"/>
      </w:tcPr>
    </w:tblStylePr>
    <w:tblStylePr w:type="band1Horz">
      <w:tblPr/>
      <w:tcPr>
        <w:tcBorders>
          <w:insideH w:val="nil"/>
          <w:insideV w:val="nil"/>
        </w:tcBorders>
        <w:shd w:val="clear" w:color="auto" w:fill="FFF5BC" w:themeFill="accent6" w:themeFillTint="3F"/>
      </w:tcPr>
    </w:tblStylePr>
    <w:tblStylePr w:type="band2Horz">
      <w:tblPr/>
      <w:tcPr>
        <w:tcBorders>
          <w:insideH w:val="nil"/>
          <w:insideV w:val="nil"/>
        </w:tcBorders>
      </w:tcPr>
    </w:tblStylePr>
  </w:style>
  <w:style w:type="table" w:styleId="Mediumskygge2">
    <w:name w:val="Medium Shading 2"/>
    <w:basedOn w:val="Tabel-Normal"/>
    <w:uiPriority w:val="64"/>
    <w:semiHidden/>
    <w:unhideWhenUsed/>
    <w:rsid w:val="00BC594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arve1">
    <w:name w:val="Medium Shading 2 Accent 1"/>
    <w:basedOn w:val="Tabel-Normal"/>
    <w:uiPriority w:val="64"/>
    <w:semiHidden/>
    <w:unhideWhenUsed/>
    <w:rsid w:val="00BC594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899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B8994" w:themeFill="accent1"/>
      </w:tcPr>
    </w:tblStylePr>
    <w:tblStylePr w:type="lastCol">
      <w:rPr>
        <w:b/>
        <w:bCs/>
        <w:color w:val="FFFFFF" w:themeColor="background1"/>
      </w:rPr>
      <w:tblPr/>
      <w:tcPr>
        <w:tcBorders>
          <w:left w:val="nil"/>
          <w:right w:val="nil"/>
          <w:insideH w:val="nil"/>
          <w:insideV w:val="nil"/>
        </w:tcBorders>
        <w:shd w:val="clear" w:color="auto" w:fill="6B899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2">
    <w:name w:val="Medium Shading 2 Accent 2"/>
    <w:basedOn w:val="Tabel-Normal"/>
    <w:uiPriority w:val="64"/>
    <w:semiHidden/>
    <w:unhideWhenUsed/>
    <w:rsid w:val="00BC594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97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5978" w:themeFill="accent2"/>
      </w:tcPr>
    </w:tblStylePr>
    <w:tblStylePr w:type="lastCol">
      <w:rPr>
        <w:b/>
        <w:bCs/>
        <w:color w:val="FFFFFF" w:themeColor="background1"/>
      </w:rPr>
      <w:tblPr/>
      <w:tcPr>
        <w:tcBorders>
          <w:left w:val="nil"/>
          <w:right w:val="nil"/>
          <w:insideH w:val="nil"/>
          <w:insideV w:val="nil"/>
        </w:tcBorders>
        <w:shd w:val="clear" w:color="auto" w:fill="00597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3">
    <w:name w:val="Medium Shading 2 Accent 3"/>
    <w:basedOn w:val="Tabel-Normal"/>
    <w:uiPriority w:val="64"/>
    <w:semiHidden/>
    <w:unhideWhenUsed/>
    <w:rsid w:val="00BC594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AD2F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AD2F1" w:themeFill="accent3"/>
      </w:tcPr>
    </w:tblStylePr>
    <w:tblStylePr w:type="lastCol">
      <w:rPr>
        <w:b/>
        <w:bCs/>
        <w:color w:val="FFFFFF" w:themeColor="background1"/>
      </w:rPr>
      <w:tblPr/>
      <w:tcPr>
        <w:tcBorders>
          <w:left w:val="nil"/>
          <w:right w:val="nil"/>
          <w:insideH w:val="nil"/>
          <w:insideV w:val="nil"/>
        </w:tcBorders>
        <w:shd w:val="clear" w:color="auto" w:fill="8AD2F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4">
    <w:name w:val="Medium Shading 2 Accent 4"/>
    <w:basedOn w:val="Tabel-Normal"/>
    <w:uiPriority w:val="64"/>
    <w:semiHidden/>
    <w:unhideWhenUsed/>
    <w:rsid w:val="00BC594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A763"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A763" w:themeFill="accent4"/>
      </w:tcPr>
    </w:tblStylePr>
    <w:tblStylePr w:type="lastCol">
      <w:rPr>
        <w:b/>
        <w:bCs/>
        <w:color w:val="FFFFFF" w:themeColor="background1"/>
      </w:rPr>
      <w:tblPr/>
      <w:tcPr>
        <w:tcBorders>
          <w:left w:val="nil"/>
          <w:right w:val="nil"/>
          <w:insideH w:val="nil"/>
          <w:insideV w:val="nil"/>
        </w:tcBorders>
        <w:shd w:val="clear" w:color="auto" w:fill="FFA763"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5">
    <w:name w:val="Medium Shading 2 Accent 5"/>
    <w:basedOn w:val="Tabel-Normal"/>
    <w:uiPriority w:val="64"/>
    <w:semiHidden/>
    <w:unhideWhenUsed/>
    <w:rsid w:val="00BC594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D691"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0D691" w:themeFill="accent5"/>
      </w:tcPr>
    </w:tblStylePr>
    <w:tblStylePr w:type="lastCol">
      <w:rPr>
        <w:b/>
        <w:bCs/>
        <w:color w:val="FFFFFF" w:themeColor="background1"/>
      </w:rPr>
      <w:tblPr/>
      <w:tcPr>
        <w:tcBorders>
          <w:left w:val="nil"/>
          <w:right w:val="nil"/>
          <w:insideH w:val="nil"/>
          <w:insideV w:val="nil"/>
        </w:tcBorders>
        <w:shd w:val="clear" w:color="auto" w:fill="50D691"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2-fremhvningsfarve6">
    <w:name w:val="Medium Shading 2 Accent 6"/>
    <w:basedOn w:val="Tabel-Normal"/>
    <w:uiPriority w:val="64"/>
    <w:semiHidden/>
    <w:unhideWhenUsed/>
    <w:rsid w:val="00BC594D"/>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FCF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FCF00" w:themeFill="accent6"/>
      </w:tcPr>
    </w:tblStylePr>
    <w:tblStylePr w:type="lastCol">
      <w:rPr>
        <w:b/>
        <w:bCs/>
        <w:color w:val="FFFFFF" w:themeColor="background1"/>
      </w:rPr>
      <w:tblPr/>
      <w:tcPr>
        <w:tcBorders>
          <w:left w:val="nil"/>
          <w:right w:val="nil"/>
          <w:insideH w:val="nil"/>
          <w:insideV w:val="nil"/>
        </w:tcBorders>
        <w:shd w:val="clear" w:color="auto" w:fill="EFCF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Omtal1">
    <w:name w:val="Omtal1"/>
    <w:basedOn w:val="Standardskrifttypeiafsnit"/>
    <w:uiPriority w:val="99"/>
    <w:semiHidden/>
    <w:unhideWhenUsed/>
    <w:rsid w:val="00BC594D"/>
    <w:rPr>
      <w:color w:val="2B579A"/>
      <w:shd w:val="clear" w:color="auto" w:fill="E1DFDD"/>
      <w:lang w:val="da-DK"/>
    </w:rPr>
  </w:style>
  <w:style w:type="paragraph" w:styleId="Brevhoved">
    <w:name w:val="Message Header"/>
    <w:basedOn w:val="Normal"/>
    <w:link w:val="BrevhovedTegn"/>
    <w:uiPriority w:val="99"/>
    <w:semiHidden/>
    <w:rsid w:val="00BC594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revhovedTegn">
    <w:name w:val="Brevhoved Tegn"/>
    <w:basedOn w:val="Standardskrifttypeiafsnit"/>
    <w:link w:val="Brevhoved"/>
    <w:uiPriority w:val="99"/>
    <w:semiHidden/>
    <w:rsid w:val="00BC594D"/>
    <w:rPr>
      <w:rFonts w:asciiTheme="majorHAnsi" w:eastAsiaTheme="majorEastAsia" w:hAnsiTheme="majorHAnsi" w:cstheme="majorBidi"/>
      <w:sz w:val="24"/>
      <w:szCs w:val="24"/>
      <w:shd w:val="pct20" w:color="auto" w:fill="auto"/>
      <w:lang w:val="da-DK"/>
    </w:rPr>
  </w:style>
  <w:style w:type="paragraph" w:styleId="NormalWeb">
    <w:name w:val="Normal (Web)"/>
    <w:basedOn w:val="Normal"/>
    <w:uiPriority w:val="99"/>
    <w:semiHidden/>
    <w:rsid w:val="00BC594D"/>
    <w:rPr>
      <w:rFonts w:ascii="Times New Roman" w:hAnsi="Times New Roman" w:cs="Times New Roman"/>
      <w:sz w:val="24"/>
      <w:szCs w:val="24"/>
    </w:rPr>
  </w:style>
  <w:style w:type="paragraph" w:styleId="Noteoverskrift">
    <w:name w:val="Note Heading"/>
    <w:basedOn w:val="Normal"/>
    <w:next w:val="Normal"/>
    <w:link w:val="NoteoverskriftTegn"/>
    <w:uiPriority w:val="99"/>
    <w:semiHidden/>
    <w:rsid w:val="00BC594D"/>
    <w:pPr>
      <w:spacing w:line="240" w:lineRule="auto"/>
    </w:pPr>
  </w:style>
  <w:style w:type="character" w:customStyle="1" w:styleId="NoteoverskriftTegn">
    <w:name w:val="Noteoverskrift Tegn"/>
    <w:basedOn w:val="Standardskrifttypeiafsnit"/>
    <w:link w:val="Noteoverskrift"/>
    <w:uiPriority w:val="99"/>
    <w:semiHidden/>
    <w:rsid w:val="00BC594D"/>
    <w:rPr>
      <w:lang w:val="da-DK"/>
    </w:rPr>
  </w:style>
  <w:style w:type="table" w:styleId="Almindeligtabel1">
    <w:name w:val="Plain Table 1"/>
    <w:basedOn w:val="Tabel-Normal"/>
    <w:uiPriority w:val="41"/>
    <w:rsid w:val="00BC594D"/>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2">
    <w:name w:val="Plain Table 2"/>
    <w:basedOn w:val="Tabel-Normal"/>
    <w:uiPriority w:val="42"/>
    <w:rsid w:val="00BC594D"/>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lmindeligtabel3">
    <w:name w:val="Plain Table 3"/>
    <w:basedOn w:val="Tabel-Normal"/>
    <w:uiPriority w:val="43"/>
    <w:rsid w:val="00BC594D"/>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lmindeligtabel4">
    <w:name w:val="Plain Table 4"/>
    <w:basedOn w:val="Tabel-Normal"/>
    <w:uiPriority w:val="44"/>
    <w:rsid w:val="00BC594D"/>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5">
    <w:name w:val="Plain Table 5"/>
    <w:basedOn w:val="Tabel-Normal"/>
    <w:uiPriority w:val="45"/>
    <w:rsid w:val="00BC594D"/>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lmindeligtekst">
    <w:name w:val="Plain Text"/>
    <w:basedOn w:val="Normal"/>
    <w:link w:val="AlmindeligtekstTegn"/>
    <w:uiPriority w:val="99"/>
    <w:semiHidden/>
    <w:rsid w:val="00BC594D"/>
    <w:pPr>
      <w:spacing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semiHidden/>
    <w:rsid w:val="00BC594D"/>
    <w:rPr>
      <w:rFonts w:ascii="Consolas" w:hAnsi="Consolas"/>
      <w:sz w:val="21"/>
      <w:szCs w:val="21"/>
      <w:lang w:val="da-DK"/>
    </w:rPr>
  </w:style>
  <w:style w:type="paragraph" w:styleId="Starthilsen">
    <w:name w:val="Salutation"/>
    <w:basedOn w:val="Normal"/>
    <w:next w:val="Normal"/>
    <w:link w:val="StarthilsenTegn"/>
    <w:uiPriority w:val="99"/>
    <w:semiHidden/>
    <w:rsid w:val="00BC594D"/>
  </w:style>
  <w:style w:type="character" w:customStyle="1" w:styleId="StarthilsenTegn">
    <w:name w:val="Starthilsen Tegn"/>
    <w:basedOn w:val="Standardskrifttypeiafsnit"/>
    <w:link w:val="Starthilsen"/>
    <w:uiPriority w:val="99"/>
    <w:semiHidden/>
    <w:rsid w:val="00BC594D"/>
    <w:rPr>
      <w:lang w:val="da-DK"/>
    </w:rPr>
  </w:style>
  <w:style w:type="character" w:customStyle="1" w:styleId="SmartHyperlink1">
    <w:name w:val="Smart Hyperlink1"/>
    <w:basedOn w:val="Standardskrifttypeiafsnit"/>
    <w:uiPriority w:val="99"/>
    <w:semiHidden/>
    <w:unhideWhenUsed/>
    <w:rsid w:val="00BC594D"/>
    <w:rPr>
      <w:u w:val="dotted"/>
      <w:lang w:val="da-DK"/>
    </w:rPr>
  </w:style>
  <w:style w:type="table" w:styleId="Tabel-3D-effekter1">
    <w:name w:val="Table 3D effects 1"/>
    <w:basedOn w:val="Tabel-Normal"/>
    <w:uiPriority w:val="99"/>
    <w:semiHidden/>
    <w:unhideWhenUsed/>
    <w:rsid w:val="00BC594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3D-effekter2">
    <w:name w:val="Table 3D effects 2"/>
    <w:basedOn w:val="Tabel-Normal"/>
    <w:uiPriority w:val="99"/>
    <w:semiHidden/>
    <w:unhideWhenUsed/>
    <w:rsid w:val="00BC594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3D-effekter3">
    <w:name w:val="Table 3D effects 3"/>
    <w:basedOn w:val="Tabel-Normal"/>
    <w:uiPriority w:val="99"/>
    <w:semiHidden/>
    <w:unhideWhenUsed/>
    <w:rsid w:val="00BC594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1">
    <w:name w:val="Table Classic 1"/>
    <w:basedOn w:val="Tabel-Normal"/>
    <w:uiPriority w:val="99"/>
    <w:semiHidden/>
    <w:unhideWhenUsed/>
    <w:rsid w:val="00BC594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lassisk2">
    <w:name w:val="Table Classic 2"/>
    <w:basedOn w:val="Tabel-Normal"/>
    <w:uiPriority w:val="99"/>
    <w:semiHidden/>
    <w:unhideWhenUsed/>
    <w:rsid w:val="00BC594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Klassisk3">
    <w:name w:val="Table Classic 3"/>
    <w:basedOn w:val="Tabel-Normal"/>
    <w:uiPriority w:val="99"/>
    <w:semiHidden/>
    <w:unhideWhenUsed/>
    <w:rsid w:val="00BC594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Klassisk4">
    <w:name w:val="Table Classic 4"/>
    <w:basedOn w:val="Tabel-Normal"/>
    <w:uiPriority w:val="99"/>
    <w:semiHidden/>
    <w:unhideWhenUsed/>
    <w:rsid w:val="00BC594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Farvet1">
    <w:name w:val="Table Colorful 1"/>
    <w:basedOn w:val="Tabel-Normal"/>
    <w:uiPriority w:val="99"/>
    <w:semiHidden/>
    <w:unhideWhenUsed/>
    <w:rsid w:val="00BC594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Farvet2">
    <w:name w:val="Table Colorful 2"/>
    <w:basedOn w:val="Tabel-Normal"/>
    <w:uiPriority w:val="99"/>
    <w:semiHidden/>
    <w:unhideWhenUsed/>
    <w:rsid w:val="00BC594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Farvet3">
    <w:name w:val="Table Colorful 3"/>
    <w:basedOn w:val="Tabel-Normal"/>
    <w:uiPriority w:val="99"/>
    <w:semiHidden/>
    <w:unhideWhenUsed/>
    <w:rsid w:val="00BC594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Spalter1">
    <w:name w:val="Table Columns 1"/>
    <w:basedOn w:val="Tabel-Normal"/>
    <w:uiPriority w:val="99"/>
    <w:semiHidden/>
    <w:unhideWhenUsed/>
    <w:rsid w:val="00BC594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palter2">
    <w:name w:val="Table Columns 2"/>
    <w:basedOn w:val="Tabel-Normal"/>
    <w:uiPriority w:val="99"/>
    <w:semiHidden/>
    <w:unhideWhenUsed/>
    <w:rsid w:val="00BC594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Spalter3">
    <w:name w:val="Table Columns 3"/>
    <w:basedOn w:val="Tabel-Normal"/>
    <w:uiPriority w:val="99"/>
    <w:semiHidden/>
    <w:unhideWhenUsed/>
    <w:rsid w:val="00BC594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Spalter4">
    <w:name w:val="Table Columns 4"/>
    <w:basedOn w:val="Tabel-Normal"/>
    <w:uiPriority w:val="99"/>
    <w:semiHidden/>
    <w:unhideWhenUsed/>
    <w:rsid w:val="00BC594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Spalter5">
    <w:name w:val="Table Columns 5"/>
    <w:basedOn w:val="Tabel-Normal"/>
    <w:uiPriority w:val="99"/>
    <w:semiHidden/>
    <w:unhideWhenUsed/>
    <w:rsid w:val="00BC594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Moderne">
    <w:name w:val="Table Contemporary"/>
    <w:basedOn w:val="Tabel-Normal"/>
    <w:uiPriority w:val="99"/>
    <w:semiHidden/>
    <w:unhideWhenUsed/>
    <w:rsid w:val="00BC594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Elegant">
    <w:name w:val="Table Elegant"/>
    <w:basedOn w:val="Tabel-Normal"/>
    <w:uiPriority w:val="99"/>
    <w:semiHidden/>
    <w:unhideWhenUsed/>
    <w:rsid w:val="00BC594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Gitter1">
    <w:name w:val="Table Grid 1"/>
    <w:basedOn w:val="Tabel-Normal"/>
    <w:uiPriority w:val="99"/>
    <w:semiHidden/>
    <w:unhideWhenUsed/>
    <w:rsid w:val="00BC594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Gitter2">
    <w:name w:val="Table Grid 2"/>
    <w:basedOn w:val="Tabel-Normal"/>
    <w:uiPriority w:val="99"/>
    <w:semiHidden/>
    <w:unhideWhenUsed/>
    <w:rsid w:val="00BC594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3">
    <w:name w:val="Table Grid 3"/>
    <w:basedOn w:val="Tabel-Normal"/>
    <w:uiPriority w:val="99"/>
    <w:semiHidden/>
    <w:unhideWhenUsed/>
    <w:rsid w:val="00BC594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Gitter4">
    <w:name w:val="Table Grid 4"/>
    <w:basedOn w:val="Tabel-Normal"/>
    <w:uiPriority w:val="99"/>
    <w:semiHidden/>
    <w:unhideWhenUsed/>
    <w:rsid w:val="00BC594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Gitter5">
    <w:name w:val="Table Grid 5"/>
    <w:basedOn w:val="Tabel-Normal"/>
    <w:uiPriority w:val="99"/>
    <w:semiHidden/>
    <w:unhideWhenUsed/>
    <w:rsid w:val="00BC59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6">
    <w:name w:val="Table Grid 6"/>
    <w:basedOn w:val="Tabel-Normal"/>
    <w:uiPriority w:val="99"/>
    <w:semiHidden/>
    <w:unhideWhenUsed/>
    <w:rsid w:val="00BC594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7">
    <w:name w:val="Table Grid 7"/>
    <w:basedOn w:val="Tabel-Normal"/>
    <w:uiPriority w:val="99"/>
    <w:semiHidden/>
    <w:unhideWhenUsed/>
    <w:rsid w:val="00BC594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Gitter8">
    <w:name w:val="Table Grid 8"/>
    <w:basedOn w:val="Tabel-Normal"/>
    <w:uiPriority w:val="99"/>
    <w:semiHidden/>
    <w:unhideWhenUsed/>
    <w:rsid w:val="00BC594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gitter-lys">
    <w:name w:val="Grid Table Light"/>
    <w:basedOn w:val="Tabel-Normal"/>
    <w:uiPriority w:val="40"/>
    <w:rsid w:val="00BC594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Tabel-Normal"/>
    <w:uiPriority w:val="99"/>
    <w:semiHidden/>
    <w:unhideWhenUsed/>
    <w:rsid w:val="00BC594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Tabel-Normal"/>
    <w:uiPriority w:val="99"/>
    <w:semiHidden/>
    <w:unhideWhenUsed/>
    <w:rsid w:val="00BC594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Tabel-Normal"/>
    <w:uiPriority w:val="99"/>
    <w:semiHidden/>
    <w:unhideWhenUsed/>
    <w:rsid w:val="00BC594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Tabel-Normal"/>
    <w:uiPriority w:val="99"/>
    <w:semiHidden/>
    <w:unhideWhenUsed/>
    <w:rsid w:val="00BC594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Tabel-Normal"/>
    <w:uiPriority w:val="99"/>
    <w:semiHidden/>
    <w:unhideWhenUsed/>
    <w:rsid w:val="00BC594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Tabel-Normal"/>
    <w:uiPriority w:val="99"/>
    <w:semiHidden/>
    <w:unhideWhenUsed/>
    <w:rsid w:val="00BC594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Tabel-Normal"/>
    <w:uiPriority w:val="99"/>
    <w:semiHidden/>
    <w:unhideWhenUsed/>
    <w:rsid w:val="00BC594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Tabel-Normal"/>
    <w:uiPriority w:val="99"/>
    <w:semiHidden/>
    <w:unhideWhenUsed/>
    <w:rsid w:val="00BC594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Professionel">
    <w:name w:val="Table Professional"/>
    <w:basedOn w:val="Tabel-Normal"/>
    <w:uiPriority w:val="99"/>
    <w:semiHidden/>
    <w:unhideWhenUsed/>
    <w:rsid w:val="00BC594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Enkelt1">
    <w:name w:val="Table Simple 1"/>
    <w:basedOn w:val="Tabel-Normal"/>
    <w:uiPriority w:val="99"/>
    <w:semiHidden/>
    <w:unhideWhenUsed/>
    <w:rsid w:val="00BC594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Enkelt2">
    <w:name w:val="Table Simple 2"/>
    <w:basedOn w:val="Tabel-Normal"/>
    <w:uiPriority w:val="99"/>
    <w:semiHidden/>
    <w:unhideWhenUsed/>
    <w:rsid w:val="00BC594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Enkelt3">
    <w:name w:val="Table Simple 3"/>
    <w:basedOn w:val="Tabel-Normal"/>
    <w:uiPriority w:val="99"/>
    <w:semiHidden/>
    <w:unhideWhenUsed/>
    <w:rsid w:val="00BC594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Hrfin1">
    <w:name w:val="Table Subtle 1"/>
    <w:basedOn w:val="Tabel-Normal"/>
    <w:uiPriority w:val="99"/>
    <w:semiHidden/>
    <w:unhideWhenUsed/>
    <w:rsid w:val="00BC594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Hrfin2">
    <w:name w:val="Table Subtle 2"/>
    <w:basedOn w:val="Tabel-Normal"/>
    <w:uiPriority w:val="99"/>
    <w:semiHidden/>
    <w:unhideWhenUsed/>
    <w:rsid w:val="00BC594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ema">
    <w:name w:val="Table Theme"/>
    <w:basedOn w:val="Tabel-Normal"/>
    <w:uiPriority w:val="99"/>
    <w:semiHidden/>
    <w:unhideWhenUsed/>
    <w:rsid w:val="00BC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Web1">
    <w:name w:val="Table Web 1"/>
    <w:basedOn w:val="Tabel-Normal"/>
    <w:uiPriority w:val="99"/>
    <w:semiHidden/>
    <w:unhideWhenUsed/>
    <w:rsid w:val="00BC594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2">
    <w:name w:val="Table Web 2"/>
    <w:basedOn w:val="Tabel-Normal"/>
    <w:uiPriority w:val="99"/>
    <w:semiHidden/>
    <w:unhideWhenUsed/>
    <w:rsid w:val="00BC594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Web3">
    <w:name w:val="Table Web 3"/>
    <w:basedOn w:val="Tabel-Normal"/>
    <w:uiPriority w:val="99"/>
    <w:semiHidden/>
    <w:unhideWhenUsed/>
    <w:rsid w:val="00BC594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Kammeradvokaten-Bltabel">
    <w:name w:val="Kammeradvokaten - Blå tabel"/>
    <w:basedOn w:val="Tabel-Normal"/>
    <w:uiPriority w:val="99"/>
    <w:rsid w:val="00BC594D"/>
    <w:pPr>
      <w:jc w:val="left"/>
    </w:pPr>
    <w:tblPr>
      <w:tblBorders>
        <w:top w:val="single" w:sz="4" w:space="0" w:color="8AD2F1" w:themeColor="background2"/>
        <w:left w:val="single" w:sz="4" w:space="0" w:color="8AD2F1" w:themeColor="background2"/>
        <w:bottom w:val="single" w:sz="4" w:space="0" w:color="8AD2F1" w:themeColor="background2"/>
        <w:right w:val="single" w:sz="4" w:space="0" w:color="8AD2F1" w:themeColor="background2"/>
        <w:insideH w:val="single" w:sz="4" w:space="0" w:color="8AD2F1" w:themeColor="background2"/>
        <w:insideV w:val="single" w:sz="4" w:space="0" w:color="8AD2F1" w:themeColor="background2"/>
      </w:tblBorders>
      <w:tblCellMar>
        <w:top w:w="57" w:type="dxa"/>
        <w:left w:w="57" w:type="dxa"/>
        <w:bottom w:w="57" w:type="dxa"/>
        <w:right w:w="57" w:type="dxa"/>
      </w:tblCellMar>
    </w:tblPr>
    <w:tblStylePr w:type="firstRow">
      <w:pPr>
        <w:wordWrap/>
        <w:spacing w:beforeLines="0" w:before="0" w:beforeAutospacing="0" w:afterLines="0" w:after="0" w:afterAutospacing="0" w:line="312" w:lineRule="auto"/>
        <w:ind w:leftChars="0" w:left="0" w:rightChars="0" w:right="0" w:firstLineChars="0" w:firstLine="0"/>
      </w:pPr>
      <w:rPr>
        <w:rFonts w:ascii="Century Schoolbook" w:hAnsi="Century Schoolbook"/>
        <w:b/>
        <w:sz w:val="20"/>
      </w:rPr>
      <w:tblPr/>
      <w:tcPr>
        <w:shd w:val="clear" w:color="auto" w:fill="8AD2F1" w:themeFill="background2"/>
      </w:tcPr>
    </w:tblStylePr>
  </w:style>
  <w:style w:type="table" w:customStyle="1" w:styleId="Kammeradvokaten-BeigeTabel">
    <w:name w:val="Kammeradvokaten - Beige Tabel"/>
    <w:basedOn w:val="Tabel-Normal"/>
    <w:uiPriority w:val="99"/>
    <w:rsid w:val="00BC594D"/>
    <w:pPr>
      <w:jc w:val="left"/>
    </w:pPr>
    <w:tblPr>
      <w:tblInd w:w="0" w:type="nil"/>
      <w:tblBorders>
        <w:top w:val="single" w:sz="4" w:space="0" w:color="8AD2F1" w:themeColor="background2"/>
        <w:left w:val="single" w:sz="4" w:space="0" w:color="8AD2F1" w:themeColor="background2"/>
        <w:bottom w:val="single" w:sz="4" w:space="0" w:color="8AD2F1" w:themeColor="background2"/>
        <w:right w:val="single" w:sz="4" w:space="0" w:color="8AD2F1" w:themeColor="background2"/>
        <w:insideH w:val="single" w:sz="4" w:space="0" w:color="8AD2F1" w:themeColor="background2"/>
        <w:insideV w:val="single" w:sz="4" w:space="0" w:color="8AD2F1" w:themeColor="background2"/>
      </w:tblBorders>
      <w:tblCellMar>
        <w:top w:w="57" w:type="dxa"/>
        <w:left w:w="57" w:type="dxa"/>
        <w:bottom w:w="57" w:type="dxa"/>
        <w:right w:w="57" w:type="dxa"/>
      </w:tblCellMar>
    </w:tblPr>
    <w:tblStylePr w:type="firstRow">
      <w:pPr>
        <w:wordWrap/>
        <w:spacing w:beforeLines="0" w:before="100" w:beforeAutospacing="1" w:afterLines="0" w:after="100" w:afterAutospacing="1" w:line="312" w:lineRule="auto"/>
        <w:ind w:leftChars="0" w:left="0" w:rightChars="0" w:right="0" w:firstLineChars="0" w:firstLine="0"/>
      </w:pPr>
      <w:rPr>
        <w:rFonts w:ascii="Century Schoolbook" w:hAnsi="Century Schoolbook" w:hint="default"/>
        <w:b/>
        <w:sz w:val="20"/>
        <w:szCs w:val="20"/>
      </w:rPr>
      <w:tblPr/>
      <w:tcPr>
        <w:tcBorders>
          <w:top w:val="single" w:sz="4" w:space="0" w:color="B8AFA6"/>
          <w:left w:val="single" w:sz="4" w:space="0" w:color="B8AFA6"/>
          <w:bottom w:val="single" w:sz="4" w:space="0" w:color="B8AFA6"/>
          <w:right w:val="single" w:sz="4" w:space="0" w:color="B8AFA6"/>
          <w:insideH w:val="single" w:sz="4" w:space="0" w:color="B8AFA6"/>
          <w:insideV w:val="single" w:sz="4" w:space="0" w:color="B8AFA6"/>
          <w:tl2br w:val="nil"/>
          <w:tr2bl w:val="nil"/>
        </w:tcBorders>
        <w:shd w:val="clear" w:color="auto" w:fill="B8AFA6"/>
      </w:tcPr>
    </w:tblStylePr>
  </w:style>
  <w:style w:type="paragraph" w:customStyle="1" w:styleId="Vandmrke">
    <w:name w:val="Vandmærke"/>
    <w:basedOn w:val="Normal"/>
    <w:uiPriority w:val="8"/>
    <w:semiHidden/>
    <w:qFormat/>
    <w:rsid w:val="00BC594D"/>
    <w:pPr>
      <w:spacing w:before="230"/>
      <w:ind w:right="493"/>
      <w:jc w:val="right"/>
    </w:pPr>
    <w:rPr>
      <w:rFonts w:ascii="Arial" w:hAnsi="Arial"/>
      <w:b/>
      <w:caps/>
      <w:color w:val="FF1206" w:themeColor="text2" w:themeShade="BF"/>
      <w:spacing w:val="56"/>
      <w:szCs w:val="160"/>
    </w:rPr>
  </w:style>
  <w:style w:type="paragraph" w:customStyle="1" w:styleId="Pausetegn">
    <w:name w:val="Pausetegn"/>
    <w:basedOn w:val="Normal"/>
    <w:next w:val="Normal"/>
    <w:uiPriority w:val="18"/>
    <w:rsid w:val="00BC594D"/>
    <w:pPr>
      <w:pBdr>
        <w:bottom w:val="single" w:sz="4" w:space="1" w:color="auto"/>
      </w:pBdr>
      <w:ind w:right="6407"/>
    </w:pPr>
  </w:style>
  <w:style w:type="paragraph" w:customStyle="1" w:styleId="Header-line">
    <w:name w:val="Header - line"/>
    <w:basedOn w:val="Sidehoved"/>
    <w:uiPriority w:val="9"/>
    <w:semiHidden/>
    <w:rsid w:val="00BC594D"/>
    <w:pPr>
      <w:pBdr>
        <w:bottom w:val="single" w:sz="4" w:space="1" w:color="auto"/>
      </w:pBdr>
      <w:spacing w:line="200" w:lineRule="exact"/>
      <w:contextualSpacing/>
    </w:pPr>
  </w:style>
  <w:style w:type="paragraph" w:customStyle="1" w:styleId="Template-Docinfo-Nospace">
    <w:name w:val="Template - Doc info - No space"/>
    <w:basedOn w:val="Template-Docinfo"/>
    <w:uiPriority w:val="9"/>
    <w:semiHidden/>
    <w:rsid w:val="00BC594D"/>
    <w:pPr>
      <w:spacing w:after="0"/>
    </w:pPr>
  </w:style>
  <w:style w:type="paragraph" w:customStyle="1" w:styleId="Footer-Line">
    <w:name w:val="Footer - Line"/>
    <w:basedOn w:val="Sidefod"/>
    <w:uiPriority w:val="9"/>
    <w:semiHidden/>
    <w:rsid w:val="00BC594D"/>
    <w:pPr>
      <w:pBdr>
        <w:top w:val="single" w:sz="4" w:space="1" w:color="auto"/>
      </w:pBdr>
      <w:spacing w:after="400"/>
    </w:pPr>
  </w:style>
  <w:style w:type="paragraph" w:customStyle="1" w:styleId="TemplateAddress-Line">
    <w:name w:val="Template Address - Line"/>
    <w:basedOn w:val="Footer-Line"/>
    <w:uiPriority w:val="8"/>
    <w:semiHidden/>
    <w:rsid w:val="00BC594D"/>
    <w:pPr>
      <w:pBdr>
        <w:top w:val="none" w:sz="0" w:space="0" w:color="auto"/>
        <w:bottom w:val="single" w:sz="4" w:space="1" w:color="auto"/>
      </w:pBdr>
      <w:spacing w:after="0"/>
    </w:pPr>
  </w:style>
  <w:style w:type="paragraph" w:customStyle="1" w:styleId="Afsnitmafstand">
    <w:name w:val="Afsnit (m. afstand)"/>
    <w:basedOn w:val="Normal"/>
    <w:uiPriority w:val="1"/>
    <w:qFormat/>
    <w:rsid w:val="00BC594D"/>
    <w:pPr>
      <w:tabs>
        <w:tab w:val="left" w:pos="992"/>
      </w:tabs>
      <w:spacing w:after="300"/>
    </w:pPr>
  </w:style>
  <w:style w:type="paragraph" w:customStyle="1" w:styleId="Afsnitmafstandindryk">
    <w:name w:val="Afsnit (m. afstand+indryk)"/>
    <w:basedOn w:val="Afsnitmafstand"/>
    <w:uiPriority w:val="1"/>
    <w:qFormat/>
    <w:rsid w:val="00BC594D"/>
    <w:pPr>
      <w:ind w:left="992"/>
    </w:pPr>
  </w:style>
  <w:style w:type="paragraph" w:styleId="Korrektur">
    <w:name w:val="Revision"/>
    <w:hidden/>
    <w:uiPriority w:val="99"/>
    <w:semiHidden/>
    <w:rsid w:val="0036440D"/>
    <w:pPr>
      <w:spacing w:line="240" w:lineRule="auto"/>
      <w:jc w:val="left"/>
    </w:pPr>
  </w:style>
  <w:style w:type="character" w:customStyle="1" w:styleId="SmartLink1">
    <w:name w:val="SmartLink1"/>
    <w:basedOn w:val="Standardskrifttypeiafsnit"/>
    <w:uiPriority w:val="99"/>
    <w:semiHidden/>
    <w:unhideWhenUsed/>
    <w:rsid w:val="0036440D"/>
    <w:rPr>
      <w:color w:val="0000FF"/>
      <w:u w:val="single"/>
      <w:shd w:val="clear" w:color="auto" w:fill="F3F2F1"/>
    </w:rPr>
  </w:style>
  <w:style w:type="character" w:customStyle="1" w:styleId="ProductList-BodyChar">
    <w:name w:val="Product List - Body Char"/>
    <w:basedOn w:val="Standardskrifttypeiafsnit"/>
    <w:link w:val="ProductList-Body"/>
    <w:locked/>
    <w:rsid w:val="0036440D"/>
    <w:rPr>
      <w:sz w:val="18"/>
    </w:rPr>
  </w:style>
  <w:style w:type="paragraph" w:customStyle="1" w:styleId="ProductList-Body">
    <w:name w:val="Product List - Body"/>
    <w:basedOn w:val="Normal"/>
    <w:link w:val="ProductList-BodyChar"/>
    <w:qFormat/>
    <w:rsid w:val="0036440D"/>
    <w:pPr>
      <w:tabs>
        <w:tab w:val="left" w:pos="158"/>
      </w:tabs>
      <w:spacing w:line="240" w:lineRule="auto"/>
      <w:jc w:val="left"/>
    </w:pPr>
    <w:rPr>
      <w:sz w:val="18"/>
    </w:rPr>
  </w:style>
  <w:style w:type="character" w:customStyle="1" w:styleId="cf01">
    <w:name w:val="cf01"/>
    <w:basedOn w:val="Standardskrifttypeiafsnit"/>
    <w:rsid w:val="0036440D"/>
    <w:rPr>
      <w:rFonts w:ascii="Segoe UI" w:hAnsi="Segoe UI" w:cs="Segoe UI" w:hint="default"/>
      <w:sz w:val="18"/>
      <w:szCs w:val="18"/>
      <w:shd w:val="clear" w:color="auto" w:fill="FFFF00"/>
    </w:rPr>
  </w:style>
  <w:style w:type="paragraph" w:customStyle="1" w:styleId="pf0">
    <w:name w:val="pf0"/>
    <w:basedOn w:val="Normal"/>
    <w:rsid w:val="0036440D"/>
    <w:pPr>
      <w:spacing w:before="100" w:beforeAutospacing="1" w:after="100" w:afterAutospacing="1" w:line="240" w:lineRule="auto"/>
      <w:jc w:val="left"/>
    </w:pPr>
    <w:rPr>
      <w:rFonts w:ascii="Times New Roman" w:eastAsia="Times New Roman" w:hAnsi="Times New Roman" w:cs="Times New Roman"/>
      <w:sz w:val="24"/>
      <w:szCs w:val="24"/>
      <w:lang w:eastAsia="da-DK"/>
    </w:rPr>
  </w:style>
  <w:style w:type="character" w:customStyle="1" w:styleId="cf11">
    <w:name w:val="cf11"/>
    <w:basedOn w:val="Standardskrifttypeiafsnit"/>
    <w:rsid w:val="0036440D"/>
    <w:rPr>
      <w:rFonts w:ascii="Segoe UI" w:hAnsi="Segoe UI" w:cs="Segoe UI" w:hint="default"/>
      <w:sz w:val="18"/>
      <w:szCs w:val="18"/>
    </w:rPr>
  </w:style>
  <w:style w:type="character" w:customStyle="1" w:styleId="cf21">
    <w:name w:val="cf21"/>
    <w:basedOn w:val="Standardskrifttypeiafsnit"/>
    <w:rsid w:val="0007158F"/>
    <w:rPr>
      <w:rFonts w:ascii="Segoe UI" w:hAnsi="Segoe UI" w:cs="Segoe UI" w:hint="default"/>
      <w:i/>
      <w:iCs/>
      <w:color w:val="161616"/>
      <w:sz w:val="18"/>
      <w:szCs w:val="18"/>
      <w:shd w:val="clear" w:color="auto" w:fill="FFFFFF"/>
    </w:rPr>
  </w:style>
  <w:style w:type="character" w:customStyle="1" w:styleId="Ulstomtale2">
    <w:name w:val="Uløst omtale2"/>
    <w:basedOn w:val="Standardskrifttypeiafsnit"/>
    <w:uiPriority w:val="99"/>
    <w:semiHidden/>
    <w:unhideWhenUsed/>
    <w:rsid w:val="00B762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5140">
      <w:bodyDiv w:val="1"/>
      <w:marLeft w:val="0"/>
      <w:marRight w:val="0"/>
      <w:marTop w:val="0"/>
      <w:marBottom w:val="0"/>
      <w:divBdr>
        <w:top w:val="none" w:sz="0" w:space="0" w:color="auto"/>
        <w:left w:val="none" w:sz="0" w:space="0" w:color="auto"/>
        <w:bottom w:val="none" w:sz="0" w:space="0" w:color="auto"/>
        <w:right w:val="none" w:sz="0" w:space="0" w:color="auto"/>
      </w:divBdr>
    </w:div>
    <w:div w:id="82727376">
      <w:bodyDiv w:val="1"/>
      <w:marLeft w:val="0"/>
      <w:marRight w:val="0"/>
      <w:marTop w:val="0"/>
      <w:marBottom w:val="0"/>
      <w:divBdr>
        <w:top w:val="none" w:sz="0" w:space="0" w:color="auto"/>
        <w:left w:val="none" w:sz="0" w:space="0" w:color="auto"/>
        <w:bottom w:val="none" w:sz="0" w:space="0" w:color="auto"/>
        <w:right w:val="none" w:sz="0" w:space="0" w:color="auto"/>
      </w:divBdr>
    </w:div>
    <w:div w:id="197788556">
      <w:bodyDiv w:val="1"/>
      <w:marLeft w:val="0"/>
      <w:marRight w:val="0"/>
      <w:marTop w:val="0"/>
      <w:marBottom w:val="0"/>
      <w:divBdr>
        <w:top w:val="none" w:sz="0" w:space="0" w:color="auto"/>
        <w:left w:val="none" w:sz="0" w:space="0" w:color="auto"/>
        <w:bottom w:val="none" w:sz="0" w:space="0" w:color="auto"/>
        <w:right w:val="none" w:sz="0" w:space="0" w:color="auto"/>
      </w:divBdr>
    </w:div>
    <w:div w:id="232158558">
      <w:bodyDiv w:val="1"/>
      <w:marLeft w:val="0"/>
      <w:marRight w:val="0"/>
      <w:marTop w:val="0"/>
      <w:marBottom w:val="0"/>
      <w:divBdr>
        <w:top w:val="none" w:sz="0" w:space="0" w:color="auto"/>
        <w:left w:val="none" w:sz="0" w:space="0" w:color="auto"/>
        <w:bottom w:val="none" w:sz="0" w:space="0" w:color="auto"/>
        <w:right w:val="none" w:sz="0" w:space="0" w:color="auto"/>
      </w:divBdr>
    </w:div>
    <w:div w:id="325789362">
      <w:bodyDiv w:val="1"/>
      <w:marLeft w:val="0"/>
      <w:marRight w:val="0"/>
      <w:marTop w:val="0"/>
      <w:marBottom w:val="0"/>
      <w:divBdr>
        <w:top w:val="none" w:sz="0" w:space="0" w:color="auto"/>
        <w:left w:val="none" w:sz="0" w:space="0" w:color="auto"/>
        <w:bottom w:val="none" w:sz="0" w:space="0" w:color="auto"/>
        <w:right w:val="none" w:sz="0" w:space="0" w:color="auto"/>
      </w:divBdr>
    </w:div>
    <w:div w:id="382946439">
      <w:bodyDiv w:val="1"/>
      <w:marLeft w:val="0"/>
      <w:marRight w:val="0"/>
      <w:marTop w:val="0"/>
      <w:marBottom w:val="0"/>
      <w:divBdr>
        <w:top w:val="none" w:sz="0" w:space="0" w:color="auto"/>
        <w:left w:val="none" w:sz="0" w:space="0" w:color="auto"/>
        <w:bottom w:val="none" w:sz="0" w:space="0" w:color="auto"/>
        <w:right w:val="none" w:sz="0" w:space="0" w:color="auto"/>
      </w:divBdr>
    </w:div>
    <w:div w:id="613562672">
      <w:bodyDiv w:val="1"/>
      <w:marLeft w:val="0"/>
      <w:marRight w:val="0"/>
      <w:marTop w:val="0"/>
      <w:marBottom w:val="0"/>
      <w:divBdr>
        <w:top w:val="none" w:sz="0" w:space="0" w:color="auto"/>
        <w:left w:val="none" w:sz="0" w:space="0" w:color="auto"/>
        <w:bottom w:val="none" w:sz="0" w:space="0" w:color="auto"/>
        <w:right w:val="none" w:sz="0" w:space="0" w:color="auto"/>
      </w:divBdr>
    </w:div>
    <w:div w:id="635111513">
      <w:bodyDiv w:val="1"/>
      <w:marLeft w:val="0"/>
      <w:marRight w:val="0"/>
      <w:marTop w:val="0"/>
      <w:marBottom w:val="0"/>
      <w:divBdr>
        <w:top w:val="none" w:sz="0" w:space="0" w:color="auto"/>
        <w:left w:val="none" w:sz="0" w:space="0" w:color="auto"/>
        <w:bottom w:val="none" w:sz="0" w:space="0" w:color="auto"/>
        <w:right w:val="none" w:sz="0" w:space="0" w:color="auto"/>
      </w:divBdr>
    </w:div>
    <w:div w:id="687874862">
      <w:bodyDiv w:val="1"/>
      <w:marLeft w:val="0"/>
      <w:marRight w:val="0"/>
      <w:marTop w:val="0"/>
      <w:marBottom w:val="0"/>
      <w:divBdr>
        <w:top w:val="none" w:sz="0" w:space="0" w:color="auto"/>
        <w:left w:val="none" w:sz="0" w:space="0" w:color="auto"/>
        <w:bottom w:val="none" w:sz="0" w:space="0" w:color="auto"/>
        <w:right w:val="none" w:sz="0" w:space="0" w:color="auto"/>
      </w:divBdr>
    </w:div>
    <w:div w:id="734159979">
      <w:bodyDiv w:val="1"/>
      <w:marLeft w:val="0"/>
      <w:marRight w:val="0"/>
      <w:marTop w:val="0"/>
      <w:marBottom w:val="0"/>
      <w:divBdr>
        <w:top w:val="none" w:sz="0" w:space="0" w:color="auto"/>
        <w:left w:val="none" w:sz="0" w:space="0" w:color="auto"/>
        <w:bottom w:val="none" w:sz="0" w:space="0" w:color="auto"/>
        <w:right w:val="none" w:sz="0" w:space="0" w:color="auto"/>
      </w:divBdr>
    </w:div>
    <w:div w:id="756251475">
      <w:bodyDiv w:val="1"/>
      <w:marLeft w:val="0"/>
      <w:marRight w:val="0"/>
      <w:marTop w:val="0"/>
      <w:marBottom w:val="0"/>
      <w:divBdr>
        <w:top w:val="none" w:sz="0" w:space="0" w:color="auto"/>
        <w:left w:val="none" w:sz="0" w:space="0" w:color="auto"/>
        <w:bottom w:val="none" w:sz="0" w:space="0" w:color="auto"/>
        <w:right w:val="none" w:sz="0" w:space="0" w:color="auto"/>
      </w:divBdr>
    </w:div>
    <w:div w:id="810824498">
      <w:bodyDiv w:val="1"/>
      <w:marLeft w:val="0"/>
      <w:marRight w:val="0"/>
      <w:marTop w:val="0"/>
      <w:marBottom w:val="0"/>
      <w:divBdr>
        <w:top w:val="none" w:sz="0" w:space="0" w:color="auto"/>
        <w:left w:val="none" w:sz="0" w:space="0" w:color="auto"/>
        <w:bottom w:val="none" w:sz="0" w:space="0" w:color="auto"/>
        <w:right w:val="none" w:sz="0" w:space="0" w:color="auto"/>
      </w:divBdr>
    </w:div>
    <w:div w:id="816842995">
      <w:bodyDiv w:val="1"/>
      <w:marLeft w:val="0"/>
      <w:marRight w:val="0"/>
      <w:marTop w:val="0"/>
      <w:marBottom w:val="0"/>
      <w:divBdr>
        <w:top w:val="none" w:sz="0" w:space="0" w:color="auto"/>
        <w:left w:val="none" w:sz="0" w:space="0" w:color="auto"/>
        <w:bottom w:val="none" w:sz="0" w:space="0" w:color="auto"/>
        <w:right w:val="none" w:sz="0" w:space="0" w:color="auto"/>
      </w:divBdr>
    </w:div>
    <w:div w:id="817069364">
      <w:bodyDiv w:val="1"/>
      <w:marLeft w:val="0"/>
      <w:marRight w:val="0"/>
      <w:marTop w:val="0"/>
      <w:marBottom w:val="0"/>
      <w:divBdr>
        <w:top w:val="none" w:sz="0" w:space="0" w:color="auto"/>
        <w:left w:val="none" w:sz="0" w:space="0" w:color="auto"/>
        <w:bottom w:val="none" w:sz="0" w:space="0" w:color="auto"/>
        <w:right w:val="none" w:sz="0" w:space="0" w:color="auto"/>
      </w:divBdr>
    </w:div>
    <w:div w:id="946814343">
      <w:bodyDiv w:val="1"/>
      <w:marLeft w:val="0"/>
      <w:marRight w:val="0"/>
      <w:marTop w:val="0"/>
      <w:marBottom w:val="0"/>
      <w:divBdr>
        <w:top w:val="none" w:sz="0" w:space="0" w:color="auto"/>
        <w:left w:val="none" w:sz="0" w:space="0" w:color="auto"/>
        <w:bottom w:val="none" w:sz="0" w:space="0" w:color="auto"/>
        <w:right w:val="none" w:sz="0" w:space="0" w:color="auto"/>
      </w:divBdr>
    </w:div>
    <w:div w:id="981809149">
      <w:bodyDiv w:val="1"/>
      <w:marLeft w:val="0"/>
      <w:marRight w:val="0"/>
      <w:marTop w:val="0"/>
      <w:marBottom w:val="0"/>
      <w:divBdr>
        <w:top w:val="none" w:sz="0" w:space="0" w:color="auto"/>
        <w:left w:val="none" w:sz="0" w:space="0" w:color="auto"/>
        <w:bottom w:val="none" w:sz="0" w:space="0" w:color="auto"/>
        <w:right w:val="none" w:sz="0" w:space="0" w:color="auto"/>
      </w:divBdr>
    </w:div>
    <w:div w:id="992560223">
      <w:bodyDiv w:val="1"/>
      <w:marLeft w:val="0"/>
      <w:marRight w:val="0"/>
      <w:marTop w:val="0"/>
      <w:marBottom w:val="0"/>
      <w:divBdr>
        <w:top w:val="none" w:sz="0" w:space="0" w:color="auto"/>
        <w:left w:val="none" w:sz="0" w:space="0" w:color="auto"/>
        <w:bottom w:val="none" w:sz="0" w:space="0" w:color="auto"/>
        <w:right w:val="none" w:sz="0" w:space="0" w:color="auto"/>
      </w:divBdr>
    </w:div>
    <w:div w:id="1037436965">
      <w:bodyDiv w:val="1"/>
      <w:marLeft w:val="0"/>
      <w:marRight w:val="0"/>
      <w:marTop w:val="0"/>
      <w:marBottom w:val="0"/>
      <w:divBdr>
        <w:top w:val="none" w:sz="0" w:space="0" w:color="auto"/>
        <w:left w:val="none" w:sz="0" w:space="0" w:color="auto"/>
        <w:bottom w:val="none" w:sz="0" w:space="0" w:color="auto"/>
        <w:right w:val="none" w:sz="0" w:space="0" w:color="auto"/>
      </w:divBdr>
    </w:div>
    <w:div w:id="1048919218">
      <w:bodyDiv w:val="1"/>
      <w:marLeft w:val="0"/>
      <w:marRight w:val="0"/>
      <w:marTop w:val="0"/>
      <w:marBottom w:val="0"/>
      <w:divBdr>
        <w:top w:val="none" w:sz="0" w:space="0" w:color="auto"/>
        <w:left w:val="none" w:sz="0" w:space="0" w:color="auto"/>
        <w:bottom w:val="none" w:sz="0" w:space="0" w:color="auto"/>
        <w:right w:val="none" w:sz="0" w:space="0" w:color="auto"/>
      </w:divBdr>
    </w:div>
    <w:div w:id="1060787537">
      <w:bodyDiv w:val="1"/>
      <w:marLeft w:val="0"/>
      <w:marRight w:val="0"/>
      <w:marTop w:val="0"/>
      <w:marBottom w:val="0"/>
      <w:divBdr>
        <w:top w:val="none" w:sz="0" w:space="0" w:color="auto"/>
        <w:left w:val="none" w:sz="0" w:space="0" w:color="auto"/>
        <w:bottom w:val="none" w:sz="0" w:space="0" w:color="auto"/>
        <w:right w:val="none" w:sz="0" w:space="0" w:color="auto"/>
      </w:divBdr>
    </w:div>
    <w:div w:id="1095787365">
      <w:bodyDiv w:val="1"/>
      <w:marLeft w:val="0"/>
      <w:marRight w:val="0"/>
      <w:marTop w:val="0"/>
      <w:marBottom w:val="0"/>
      <w:divBdr>
        <w:top w:val="none" w:sz="0" w:space="0" w:color="auto"/>
        <w:left w:val="none" w:sz="0" w:space="0" w:color="auto"/>
        <w:bottom w:val="none" w:sz="0" w:space="0" w:color="auto"/>
        <w:right w:val="none" w:sz="0" w:space="0" w:color="auto"/>
      </w:divBdr>
    </w:div>
    <w:div w:id="1137408168">
      <w:bodyDiv w:val="1"/>
      <w:marLeft w:val="0"/>
      <w:marRight w:val="0"/>
      <w:marTop w:val="0"/>
      <w:marBottom w:val="0"/>
      <w:divBdr>
        <w:top w:val="none" w:sz="0" w:space="0" w:color="auto"/>
        <w:left w:val="none" w:sz="0" w:space="0" w:color="auto"/>
        <w:bottom w:val="none" w:sz="0" w:space="0" w:color="auto"/>
        <w:right w:val="none" w:sz="0" w:space="0" w:color="auto"/>
      </w:divBdr>
    </w:div>
    <w:div w:id="1264265477">
      <w:bodyDiv w:val="1"/>
      <w:marLeft w:val="0"/>
      <w:marRight w:val="0"/>
      <w:marTop w:val="0"/>
      <w:marBottom w:val="0"/>
      <w:divBdr>
        <w:top w:val="none" w:sz="0" w:space="0" w:color="auto"/>
        <w:left w:val="none" w:sz="0" w:space="0" w:color="auto"/>
        <w:bottom w:val="none" w:sz="0" w:space="0" w:color="auto"/>
        <w:right w:val="none" w:sz="0" w:space="0" w:color="auto"/>
      </w:divBdr>
    </w:div>
    <w:div w:id="1424957397">
      <w:bodyDiv w:val="1"/>
      <w:marLeft w:val="0"/>
      <w:marRight w:val="0"/>
      <w:marTop w:val="0"/>
      <w:marBottom w:val="0"/>
      <w:divBdr>
        <w:top w:val="none" w:sz="0" w:space="0" w:color="auto"/>
        <w:left w:val="none" w:sz="0" w:space="0" w:color="auto"/>
        <w:bottom w:val="none" w:sz="0" w:space="0" w:color="auto"/>
        <w:right w:val="none" w:sz="0" w:space="0" w:color="auto"/>
      </w:divBdr>
    </w:div>
    <w:div w:id="1439371261">
      <w:bodyDiv w:val="1"/>
      <w:marLeft w:val="0"/>
      <w:marRight w:val="0"/>
      <w:marTop w:val="0"/>
      <w:marBottom w:val="0"/>
      <w:divBdr>
        <w:top w:val="none" w:sz="0" w:space="0" w:color="auto"/>
        <w:left w:val="none" w:sz="0" w:space="0" w:color="auto"/>
        <w:bottom w:val="none" w:sz="0" w:space="0" w:color="auto"/>
        <w:right w:val="none" w:sz="0" w:space="0" w:color="auto"/>
      </w:divBdr>
    </w:div>
    <w:div w:id="1458335712">
      <w:bodyDiv w:val="1"/>
      <w:marLeft w:val="0"/>
      <w:marRight w:val="0"/>
      <w:marTop w:val="0"/>
      <w:marBottom w:val="0"/>
      <w:divBdr>
        <w:top w:val="none" w:sz="0" w:space="0" w:color="auto"/>
        <w:left w:val="none" w:sz="0" w:space="0" w:color="auto"/>
        <w:bottom w:val="none" w:sz="0" w:space="0" w:color="auto"/>
        <w:right w:val="none" w:sz="0" w:space="0" w:color="auto"/>
      </w:divBdr>
    </w:div>
    <w:div w:id="1633706196">
      <w:bodyDiv w:val="1"/>
      <w:marLeft w:val="0"/>
      <w:marRight w:val="0"/>
      <w:marTop w:val="0"/>
      <w:marBottom w:val="0"/>
      <w:divBdr>
        <w:top w:val="none" w:sz="0" w:space="0" w:color="auto"/>
        <w:left w:val="none" w:sz="0" w:space="0" w:color="auto"/>
        <w:bottom w:val="none" w:sz="0" w:space="0" w:color="auto"/>
        <w:right w:val="none" w:sz="0" w:space="0" w:color="auto"/>
      </w:divBdr>
    </w:div>
    <w:div w:id="1786147973">
      <w:bodyDiv w:val="1"/>
      <w:marLeft w:val="0"/>
      <w:marRight w:val="0"/>
      <w:marTop w:val="0"/>
      <w:marBottom w:val="0"/>
      <w:divBdr>
        <w:top w:val="none" w:sz="0" w:space="0" w:color="auto"/>
        <w:left w:val="none" w:sz="0" w:space="0" w:color="auto"/>
        <w:bottom w:val="none" w:sz="0" w:space="0" w:color="auto"/>
        <w:right w:val="none" w:sz="0" w:space="0" w:color="auto"/>
      </w:divBdr>
    </w:div>
    <w:div w:id="1889877063">
      <w:bodyDiv w:val="1"/>
      <w:marLeft w:val="0"/>
      <w:marRight w:val="0"/>
      <w:marTop w:val="0"/>
      <w:marBottom w:val="0"/>
      <w:divBdr>
        <w:top w:val="none" w:sz="0" w:space="0" w:color="auto"/>
        <w:left w:val="none" w:sz="0" w:space="0" w:color="auto"/>
        <w:bottom w:val="none" w:sz="0" w:space="0" w:color="auto"/>
        <w:right w:val="none" w:sz="0" w:space="0" w:color="auto"/>
      </w:divBdr>
    </w:div>
    <w:div w:id="1952007711">
      <w:bodyDiv w:val="1"/>
      <w:marLeft w:val="0"/>
      <w:marRight w:val="0"/>
      <w:marTop w:val="0"/>
      <w:marBottom w:val="0"/>
      <w:divBdr>
        <w:top w:val="none" w:sz="0" w:space="0" w:color="auto"/>
        <w:left w:val="none" w:sz="0" w:space="0" w:color="auto"/>
        <w:bottom w:val="none" w:sz="0" w:space="0" w:color="auto"/>
        <w:right w:val="none" w:sz="0" w:space="0" w:color="auto"/>
      </w:divBdr>
    </w:div>
    <w:div w:id="1955285678">
      <w:bodyDiv w:val="1"/>
      <w:marLeft w:val="0"/>
      <w:marRight w:val="0"/>
      <w:marTop w:val="0"/>
      <w:marBottom w:val="0"/>
      <w:divBdr>
        <w:top w:val="none" w:sz="0" w:space="0" w:color="auto"/>
        <w:left w:val="none" w:sz="0" w:space="0" w:color="auto"/>
        <w:bottom w:val="none" w:sz="0" w:space="0" w:color="auto"/>
        <w:right w:val="none" w:sz="0" w:space="0" w:color="auto"/>
      </w:divBdr>
    </w:div>
    <w:div w:id="1980841019">
      <w:bodyDiv w:val="1"/>
      <w:marLeft w:val="0"/>
      <w:marRight w:val="0"/>
      <w:marTop w:val="0"/>
      <w:marBottom w:val="0"/>
      <w:divBdr>
        <w:top w:val="none" w:sz="0" w:space="0" w:color="auto"/>
        <w:left w:val="none" w:sz="0" w:space="0" w:color="auto"/>
        <w:bottom w:val="none" w:sz="0" w:space="0" w:color="auto"/>
        <w:right w:val="none" w:sz="0" w:space="0" w:color="auto"/>
      </w:divBdr>
    </w:div>
    <w:div w:id="2052802117">
      <w:bodyDiv w:val="1"/>
      <w:marLeft w:val="0"/>
      <w:marRight w:val="0"/>
      <w:marTop w:val="0"/>
      <w:marBottom w:val="0"/>
      <w:divBdr>
        <w:top w:val="none" w:sz="0" w:space="0" w:color="auto"/>
        <w:left w:val="none" w:sz="0" w:space="0" w:color="auto"/>
        <w:bottom w:val="none" w:sz="0" w:space="0" w:color="auto"/>
        <w:right w:val="none" w:sz="0" w:space="0" w:color="auto"/>
      </w:divBdr>
    </w:div>
    <w:div w:id="2098088896">
      <w:bodyDiv w:val="1"/>
      <w:marLeft w:val="0"/>
      <w:marRight w:val="0"/>
      <w:marTop w:val="0"/>
      <w:marBottom w:val="0"/>
      <w:divBdr>
        <w:top w:val="none" w:sz="0" w:space="0" w:color="auto"/>
        <w:left w:val="none" w:sz="0" w:space="0" w:color="auto"/>
        <w:bottom w:val="none" w:sz="0" w:space="0" w:color="auto"/>
        <w:right w:val="none" w:sz="0" w:space="0" w:color="auto"/>
      </w:divBdr>
    </w:div>
    <w:div w:id="2113360386">
      <w:bodyDiv w:val="1"/>
      <w:marLeft w:val="0"/>
      <w:marRight w:val="0"/>
      <w:marTop w:val="0"/>
      <w:marBottom w:val="0"/>
      <w:divBdr>
        <w:top w:val="none" w:sz="0" w:space="0" w:color="auto"/>
        <w:left w:val="none" w:sz="0" w:space="0" w:color="auto"/>
        <w:bottom w:val="none" w:sz="0" w:space="0" w:color="auto"/>
        <w:right w:val="none" w:sz="0" w:space="0" w:color="auto"/>
      </w:divBdr>
    </w:div>
    <w:div w:id="211972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s://poulschmith.dk/om-firmaet/saadan-haandterer-vi-dine-personoplysninger"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conseil-etat.fr/en/news/the-urgent-applications-judge-does-not-suspend-the-partnership-between-the-ministry-of-health-and-doctolib-for-the-management-of-covid-19-vaccinati" TargetMode="External"/><Relationship Id="rId13" Type="http://schemas.openxmlformats.org/officeDocument/2006/relationships/hyperlink" Target="https://learn.microsoft.com/en-us/azure/security/fundamentals/customer-lockbox-overview" TargetMode="External"/><Relationship Id="rId3" Type="http://schemas.openxmlformats.org/officeDocument/2006/relationships/hyperlink" Target="https://www.rijksoverheid.nl/documenten/publicaties/2022/02/21/public-dpia-teams-onedrive-sharepoint-and-azure-ad" TargetMode="External"/><Relationship Id="rId7" Type="http://schemas.openxmlformats.org/officeDocument/2006/relationships/hyperlink" Target="https://verfassungsblog.de/schrems-ii-re-examined/" TargetMode="External"/><Relationship Id="rId12" Type="http://schemas.openxmlformats.org/officeDocument/2006/relationships/hyperlink" Target="https://learn.microsoft.com/en-us/purview/customer-lockbox-requests" TargetMode="External"/><Relationship Id="rId2" Type="http://schemas.openxmlformats.org/officeDocument/2006/relationships/hyperlink" Target="https://www.datatilsynet.dk/hvad-siger-reglerne/vejledning/cloud/spoergsmaal-og-svar-om-cloud" TargetMode="External"/><Relationship Id="rId1" Type="http://schemas.openxmlformats.org/officeDocument/2006/relationships/hyperlink" Target="https://www.datatilsynet.dk/presse-og-nyheder/nyhedsarkiv/2022/aug/datatilsynets-spoergeskema-ved-tilsyn-med-cloud" TargetMode="External"/><Relationship Id="rId6" Type="http://schemas.openxmlformats.org/officeDocument/2006/relationships/hyperlink" Target="https://www.dataprivacyframework.gov/EU-US-Framework" TargetMode="External"/><Relationship Id="rId11" Type="http://schemas.openxmlformats.org/officeDocument/2006/relationships/hyperlink" Target="https://edpl.lexxion.eu/data/article/17963/pdf/edpl_2021_04-010.pdf" TargetMode="External"/><Relationship Id="rId5" Type="http://schemas.openxmlformats.org/officeDocument/2006/relationships/hyperlink" Target="https://learn.microsoft.com/en-us/deployoffice/privacy/required-diagnostic-data" TargetMode="External"/><Relationship Id="rId10" Type="http://schemas.openxmlformats.org/officeDocument/2006/relationships/hyperlink" Target="https://ssrn.com/abstract=4732294" TargetMode="External"/><Relationship Id="rId4" Type="http://schemas.openxmlformats.org/officeDocument/2006/relationships/hyperlink" Target="https://learn.microsoft.com/en-us/deployoffice/privacy/required-diagnostic-data" TargetMode="External"/><Relationship Id="rId9" Type="http://schemas.openxmlformats.org/officeDocument/2006/relationships/hyperlink" Target="https://www.rijksoverheid.nl/documenten/publicaties/2022/02/21/public-dpia-teams-onedrive-sharepoint-and-azure-ad" TargetMode="External"/><Relationship Id="rId14" Type="http://schemas.openxmlformats.org/officeDocument/2006/relationships/hyperlink" Target="https://learn.microsoft.com/en-us/purview/customer-lockbox-request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1.ars"/><Relationship Id="rId2" Type="http://schemas.openxmlformats.org/officeDocument/2006/relationships/image" Target="media/image10.n1l"/><Relationship Id="rId1" Type="http://schemas.openxmlformats.org/officeDocument/2006/relationships/image" Target="media/image9.a1x"/></Relationships>
</file>

<file path=word/_rels/header2.xml.rels><?xml version="1.0" encoding="UTF-8" standalone="yes"?>
<Relationships xmlns="http://schemas.openxmlformats.org/package/2006/relationships"><Relationship Id="rId3" Type="http://schemas.openxmlformats.org/officeDocument/2006/relationships/image" Target="media/image11.ars"/><Relationship Id="rId2" Type="http://schemas.openxmlformats.org/officeDocument/2006/relationships/image" Target="media/image10.n1l"/><Relationship Id="rId1" Type="http://schemas.openxmlformats.org/officeDocument/2006/relationships/image" Target="media/image9.a1x"/></Relationships>
</file>

<file path=word/_rels/header3.xml.rels><?xml version="1.0" encoding="UTF-8" standalone="yes"?>
<Relationships xmlns="http://schemas.openxmlformats.org/package/2006/relationships"><Relationship Id="rId3" Type="http://schemas.openxmlformats.org/officeDocument/2006/relationships/image" Target="media/image11.ars"/><Relationship Id="rId2" Type="http://schemas.openxmlformats.org/officeDocument/2006/relationships/image" Target="media/image10.n1l"/><Relationship Id="rId1" Type="http://schemas.openxmlformats.org/officeDocument/2006/relationships/image" Target="media/image9.a1x"/></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915FA4C92442FAB83366A207D3689A"/>
        <w:category>
          <w:name w:val="General"/>
          <w:gallery w:val="placeholder"/>
        </w:category>
        <w:types>
          <w:type w:val="bbPlcHdr"/>
        </w:types>
        <w:behaviors>
          <w:behavior w:val="content"/>
        </w:behaviors>
        <w:guid w:val="{EF21127D-1DD2-4BFF-9C52-25BC572E8CA9}"/>
      </w:docPartPr>
      <w:docPartBody>
        <w:p w:rsidR="00D0672A" w:rsidRDefault="00FD360E" w:rsidP="00FD360E">
          <w:pPr>
            <w:pStyle w:val="AF915FA4C92442FAB83366A207D3689A"/>
          </w:pPr>
          <w:bookmarkStart w:id="0" w:name="start"/>
          <w:bookmarkEnd w:id="0"/>
          <w:r w:rsidRPr="002A72F1">
            <w:rPr>
              <w:rStyle w:val="Pladsholdertekst"/>
            </w:rPr>
            <w:t>Click or tap here to enter text.</w:t>
          </w:r>
        </w:p>
      </w:docPartBody>
    </w:docPart>
    <w:docPart>
      <w:docPartPr>
        <w:name w:val="9D53DEED5E51448D8C7619DBFFCEE7E5"/>
        <w:category>
          <w:name w:val="General"/>
          <w:gallery w:val="placeholder"/>
        </w:category>
        <w:types>
          <w:type w:val="bbPlcHdr"/>
        </w:types>
        <w:behaviors>
          <w:behavior w:val="content"/>
        </w:behaviors>
        <w:guid w:val="{BE8761FA-50EA-42FB-B6D6-3C61532E4CF4}"/>
      </w:docPartPr>
      <w:docPartBody>
        <w:p w:rsidR="00D0672A" w:rsidRDefault="00D0672A"/>
      </w:docPartBody>
    </w:docPart>
    <w:docPart>
      <w:docPartPr>
        <w:name w:val="CACA380F3EA448A89108F3861B2D862C"/>
        <w:category>
          <w:name w:val="General"/>
          <w:gallery w:val="placeholder"/>
        </w:category>
        <w:types>
          <w:type w:val="bbPlcHdr"/>
        </w:types>
        <w:behaviors>
          <w:behavior w:val="content"/>
        </w:behaviors>
        <w:guid w:val="{611E2840-DDBA-49C5-BF91-7C0BF227B0D0}"/>
      </w:docPartPr>
      <w:docPartBody>
        <w:p w:rsidR="00D0672A" w:rsidRDefault="00D0672A"/>
      </w:docPartBody>
    </w:docPart>
    <w:docPart>
      <w:docPartPr>
        <w:name w:val="66DB202E5C2F442594547554D97ABEDD"/>
        <w:category>
          <w:name w:val="General"/>
          <w:gallery w:val="placeholder"/>
        </w:category>
        <w:types>
          <w:type w:val="bbPlcHdr"/>
        </w:types>
        <w:behaviors>
          <w:behavior w:val="content"/>
        </w:behaviors>
        <w:guid w:val="{72074A1D-A2F0-4371-8F11-80E17715B13F}"/>
      </w:docPartPr>
      <w:docPartBody>
        <w:p w:rsidR="00D0672A" w:rsidRDefault="00D0672A"/>
      </w:docPartBody>
    </w:docPart>
    <w:docPart>
      <w:docPartPr>
        <w:name w:val="EE40C39127CD4014B1FC91A9709E6AEA"/>
        <w:category>
          <w:name w:val="General"/>
          <w:gallery w:val="placeholder"/>
        </w:category>
        <w:types>
          <w:type w:val="bbPlcHdr"/>
        </w:types>
        <w:behaviors>
          <w:behavior w:val="content"/>
        </w:behaviors>
        <w:guid w:val="{BEBD7642-D787-4044-A396-3E82C59AE155}"/>
      </w:docPartPr>
      <w:docPartBody>
        <w:p w:rsidR="00D0672A" w:rsidRDefault="00FD360E" w:rsidP="00FD360E">
          <w:pPr>
            <w:pStyle w:val="EE40C39127CD4014B1FC91A9709E6AEA"/>
          </w:pPr>
          <w:r w:rsidRPr="002A72F1">
            <w:rPr>
              <w:rStyle w:val="Pladsholdertekst"/>
            </w:rPr>
            <w:t>Click or tap here to enter text.</w:t>
          </w:r>
        </w:p>
      </w:docPartBody>
    </w:docPart>
    <w:docPart>
      <w:docPartPr>
        <w:name w:val="885EC6CB434446E8AE0C9FBDA55E54DB"/>
        <w:category>
          <w:name w:val="General"/>
          <w:gallery w:val="placeholder"/>
        </w:category>
        <w:types>
          <w:type w:val="bbPlcHdr"/>
        </w:types>
        <w:behaviors>
          <w:behavior w:val="content"/>
        </w:behaviors>
        <w:guid w:val="{5E81D605-390A-4A2D-9AF2-37C82C234A5D}"/>
      </w:docPartPr>
      <w:docPartBody>
        <w:p w:rsidR="00D0672A" w:rsidRDefault="00D0672A"/>
      </w:docPartBody>
    </w:docPart>
    <w:docPart>
      <w:docPartPr>
        <w:name w:val="9CA5ECCF8F5A4F03B73A575266D38B82"/>
        <w:category>
          <w:name w:val="General"/>
          <w:gallery w:val="placeholder"/>
        </w:category>
        <w:types>
          <w:type w:val="bbPlcHdr"/>
        </w:types>
        <w:behaviors>
          <w:behavior w:val="content"/>
        </w:behaviors>
        <w:guid w:val="{8B8FD040-BE69-44D6-835B-183FC820B5C7}"/>
      </w:docPartPr>
      <w:docPartBody>
        <w:p w:rsidR="00D0672A" w:rsidRDefault="00D0672A"/>
      </w:docPartBody>
    </w:docPart>
    <w:docPart>
      <w:docPartPr>
        <w:name w:val="C8DAAF39CCB9482D98E05FCD7C75D220"/>
        <w:category>
          <w:name w:val="General"/>
          <w:gallery w:val="placeholder"/>
        </w:category>
        <w:types>
          <w:type w:val="bbPlcHdr"/>
        </w:types>
        <w:behaviors>
          <w:behavior w:val="content"/>
        </w:behaviors>
        <w:guid w:val="{9FE58C5D-A30F-4B7C-B0ED-53D759BBC378}"/>
      </w:docPartPr>
      <w:docPartBody>
        <w:p w:rsidR="00D0672A" w:rsidRDefault="00D0672A"/>
      </w:docPartBody>
    </w:docPart>
    <w:docPart>
      <w:docPartPr>
        <w:name w:val="1A4EC07D64DE45C2897EFBDE8CE03490"/>
        <w:category>
          <w:name w:val="General"/>
          <w:gallery w:val="placeholder"/>
        </w:category>
        <w:types>
          <w:type w:val="bbPlcHdr"/>
        </w:types>
        <w:behaviors>
          <w:behavior w:val="content"/>
        </w:behaviors>
        <w:guid w:val="{EC0DACDF-E331-4626-BC11-5D05C164D3C4}"/>
      </w:docPartPr>
      <w:docPartBody>
        <w:p w:rsidR="00EA2780" w:rsidRDefault="00D0672A" w:rsidP="00D0672A">
          <w:pPr>
            <w:pStyle w:val="1A4EC07D64DE45C2897EFBDE8CE03490"/>
          </w:pPr>
          <w:r>
            <w:rPr>
              <w:rStyle w:val="Pladsholdertekst"/>
            </w:rPr>
            <w:t>Click or tap here to enter text.</w:t>
          </w:r>
        </w:p>
      </w:docPartBody>
    </w:docPart>
    <w:docPart>
      <w:docPartPr>
        <w:name w:val="C2AEAF7C64924B13AC7BBC767E7D3BC7"/>
        <w:category>
          <w:name w:val="General"/>
          <w:gallery w:val="placeholder"/>
        </w:category>
        <w:types>
          <w:type w:val="bbPlcHdr"/>
        </w:types>
        <w:behaviors>
          <w:behavior w:val="content"/>
        </w:behaviors>
        <w:guid w:val="{20A53FFE-069B-4DA4-8998-3B6199C5C13E}"/>
      </w:docPartPr>
      <w:docPartBody>
        <w:p w:rsidR="00EA2780" w:rsidRDefault="00EA2780"/>
      </w:docPartBody>
    </w:docPart>
    <w:docPart>
      <w:docPartPr>
        <w:name w:val="0C49EA08A2C4461AA49CC7885C493357"/>
        <w:category>
          <w:name w:val="General"/>
          <w:gallery w:val="placeholder"/>
        </w:category>
        <w:types>
          <w:type w:val="bbPlcHdr"/>
        </w:types>
        <w:behaviors>
          <w:behavior w:val="content"/>
        </w:behaviors>
        <w:guid w:val="{B9A9F3F2-61EC-46B9-9370-893FB837D634}"/>
      </w:docPartPr>
      <w:docPartBody>
        <w:p w:rsidR="00EA2780" w:rsidRDefault="00EA2780"/>
      </w:docPartBody>
    </w:docPart>
    <w:docPart>
      <w:docPartPr>
        <w:name w:val="109E96CEF6F24659BF24014A0A061843"/>
        <w:category>
          <w:name w:val="General"/>
          <w:gallery w:val="placeholder"/>
        </w:category>
        <w:types>
          <w:type w:val="bbPlcHdr"/>
        </w:types>
        <w:behaviors>
          <w:behavior w:val="content"/>
        </w:behaviors>
        <w:guid w:val="{742E6602-D414-4920-9E86-9B8DA453BBF4}"/>
      </w:docPartPr>
      <w:docPartBody>
        <w:p w:rsidR="005161BA" w:rsidRDefault="00634E7B" w:rsidP="00634E7B">
          <w:pPr>
            <w:pStyle w:val="109E96CEF6F24659BF24014A0A061843"/>
          </w:pPr>
          <w:r w:rsidRPr="002A72F1">
            <w:rPr>
              <w:rStyle w:val="Pladsholdertekst"/>
            </w:rPr>
            <w:t>Click or tap here to enter text.</w:t>
          </w:r>
        </w:p>
      </w:docPartBody>
    </w:docPart>
    <w:docPart>
      <w:docPartPr>
        <w:name w:val="ECEF413C82CF4A1A98CF942B74C53C59"/>
        <w:category>
          <w:name w:val="General"/>
          <w:gallery w:val="placeholder"/>
        </w:category>
        <w:types>
          <w:type w:val="bbPlcHdr"/>
        </w:types>
        <w:behaviors>
          <w:behavior w:val="content"/>
        </w:behaviors>
        <w:guid w:val="{A744E21B-AEE2-4406-8AE3-D63D3EA53666}"/>
      </w:docPartPr>
      <w:docPartBody>
        <w:p w:rsidR="005161BA" w:rsidRDefault="00634E7B" w:rsidP="00634E7B">
          <w:pPr>
            <w:pStyle w:val="ECEF413C82CF4A1A98CF942B74C53C59"/>
          </w:pPr>
          <w:r w:rsidRPr="00B51A3C">
            <w:t>Address</w:t>
          </w:r>
        </w:p>
      </w:docPartBody>
    </w:docPart>
    <w:docPart>
      <w:docPartPr>
        <w:name w:val="B67DA011795A4AF7BA0B3A4E11E4CC13"/>
        <w:category>
          <w:name w:val="General"/>
          <w:gallery w:val="placeholder"/>
        </w:category>
        <w:types>
          <w:type w:val="bbPlcHdr"/>
        </w:types>
        <w:behaviors>
          <w:behavior w:val="content"/>
        </w:behaviors>
        <w:guid w:val="{2DE4454C-936A-4F4D-881D-53F9C0E74648}"/>
      </w:docPartPr>
      <w:docPartBody>
        <w:p w:rsidR="00457843" w:rsidRDefault="00672C3E" w:rsidP="00672C3E">
          <w:pPr>
            <w:pStyle w:val="B67DA011795A4AF7BA0B3A4E11E4CC13"/>
          </w:pPr>
          <w:r w:rsidRPr="004A7C7C">
            <w:rPr>
              <w:rStyle w:val="Pladsholde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exusSansWebPro">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383"/>
    <w:rsid w:val="00012922"/>
    <w:rsid w:val="00043ED7"/>
    <w:rsid w:val="00054F4B"/>
    <w:rsid w:val="00060645"/>
    <w:rsid w:val="000760A9"/>
    <w:rsid w:val="000A020A"/>
    <w:rsid w:val="000A43FD"/>
    <w:rsid w:val="000A5799"/>
    <w:rsid w:val="000B1149"/>
    <w:rsid w:val="000F4517"/>
    <w:rsid w:val="00123C41"/>
    <w:rsid w:val="0012705F"/>
    <w:rsid w:val="00157369"/>
    <w:rsid w:val="00162CEF"/>
    <w:rsid w:val="00166645"/>
    <w:rsid w:val="001671DE"/>
    <w:rsid w:val="00184F42"/>
    <w:rsid w:val="00186DC2"/>
    <w:rsid w:val="001963F8"/>
    <w:rsid w:val="001C3F7C"/>
    <w:rsid w:val="001C4FE6"/>
    <w:rsid w:val="001D03DB"/>
    <w:rsid w:val="001D4479"/>
    <w:rsid w:val="002262FA"/>
    <w:rsid w:val="002342DB"/>
    <w:rsid w:val="002418D4"/>
    <w:rsid w:val="00244D80"/>
    <w:rsid w:val="00246CD7"/>
    <w:rsid w:val="00251510"/>
    <w:rsid w:val="00260453"/>
    <w:rsid w:val="002639E3"/>
    <w:rsid w:val="002748EA"/>
    <w:rsid w:val="0029620A"/>
    <w:rsid w:val="002A374B"/>
    <w:rsid w:val="002D4AF6"/>
    <w:rsid w:val="00311741"/>
    <w:rsid w:val="0031380C"/>
    <w:rsid w:val="0031532D"/>
    <w:rsid w:val="00321408"/>
    <w:rsid w:val="0035334B"/>
    <w:rsid w:val="00354E0D"/>
    <w:rsid w:val="003856BE"/>
    <w:rsid w:val="0039106B"/>
    <w:rsid w:val="003D0874"/>
    <w:rsid w:val="003D2B52"/>
    <w:rsid w:val="003F2F33"/>
    <w:rsid w:val="003F2FE7"/>
    <w:rsid w:val="0042281B"/>
    <w:rsid w:val="00435E72"/>
    <w:rsid w:val="00446050"/>
    <w:rsid w:val="00457843"/>
    <w:rsid w:val="004601E3"/>
    <w:rsid w:val="004A0D32"/>
    <w:rsid w:val="004B1D25"/>
    <w:rsid w:val="004C4679"/>
    <w:rsid w:val="004E1C96"/>
    <w:rsid w:val="004E6F9B"/>
    <w:rsid w:val="004F0045"/>
    <w:rsid w:val="004F0E52"/>
    <w:rsid w:val="005161BA"/>
    <w:rsid w:val="00534732"/>
    <w:rsid w:val="00566AFB"/>
    <w:rsid w:val="005748EF"/>
    <w:rsid w:val="00576455"/>
    <w:rsid w:val="00584987"/>
    <w:rsid w:val="005A3005"/>
    <w:rsid w:val="005B03DB"/>
    <w:rsid w:val="005B29E3"/>
    <w:rsid w:val="005B5EF2"/>
    <w:rsid w:val="005B796A"/>
    <w:rsid w:val="005E1A02"/>
    <w:rsid w:val="005E4BC7"/>
    <w:rsid w:val="005F3C76"/>
    <w:rsid w:val="0060103C"/>
    <w:rsid w:val="0060716A"/>
    <w:rsid w:val="00620662"/>
    <w:rsid w:val="006256A1"/>
    <w:rsid w:val="00634E7B"/>
    <w:rsid w:val="00637F1C"/>
    <w:rsid w:val="006448D9"/>
    <w:rsid w:val="00654CEC"/>
    <w:rsid w:val="00655240"/>
    <w:rsid w:val="0066769A"/>
    <w:rsid w:val="006706DC"/>
    <w:rsid w:val="00670E80"/>
    <w:rsid w:val="00672C3E"/>
    <w:rsid w:val="00693593"/>
    <w:rsid w:val="006A0322"/>
    <w:rsid w:val="006A62CA"/>
    <w:rsid w:val="006B7A36"/>
    <w:rsid w:val="006C1B65"/>
    <w:rsid w:val="006D6361"/>
    <w:rsid w:val="006D73C1"/>
    <w:rsid w:val="006E368D"/>
    <w:rsid w:val="006E69FA"/>
    <w:rsid w:val="006F28B7"/>
    <w:rsid w:val="00704A21"/>
    <w:rsid w:val="00706390"/>
    <w:rsid w:val="00732FE3"/>
    <w:rsid w:val="00741ECD"/>
    <w:rsid w:val="00742D44"/>
    <w:rsid w:val="00746510"/>
    <w:rsid w:val="00761F5B"/>
    <w:rsid w:val="00766E7F"/>
    <w:rsid w:val="007903F4"/>
    <w:rsid w:val="007C79AC"/>
    <w:rsid w:val="007D74E7"/>
    <w:rsid w:val="007E0FD2"/>
    <w:rsid w:val="007E54E1"/>
    <w:rsid w:val="007F2317"/>
    <w:rsid w:val="007F580F"/>
    <w:rsid w:val="007F6062"/>
    <w:rsid w:val="0080049A"/>
    <w:rsid w:val="0081352B"/>
    <w:rsid w:val="00845AF9"/>
    <w:rsid w:val="008477C9"/>
    <w:rsid w:val="008504C2"/>
    <w:rsid w:val="00862F3C"/>
    <w:rsid w:val="008631F9"/>
    <w:rsid w:val="00866733"/>
    <w:rsid w:val="00876B8A"/>
    <w:rsid w:val="008879CB"/>
    <w:rsid w:val="008B0A3E"/>
    <w:rsid w:val="008D0BED"/>
    <w:rsid w:val="008D2AED"/>
    <w:rsid w:val="008E1E85"/>
    <w:rsid w:val="0092017F"/>
    <w:rsid w:val="009205C3"/>
    <w:rsid w:val="00936A84"/>
    <w:rsid w:val="00946428"/>
    <w:rsid w:val="00975435"/>
    <w:rsid w:val="00996770"/>
    <w:rsid w:val="009A0689"/>
    <w:rsid w:val="009B600A"/>
    <w:rsid w:val="009C011D"/>
    <w:rsid w:val="009C4072"/>
    <w:rsid w:val="009E6093"/>
    <w:rsid w:val="009E715F"/>
    <w:rsid w:val="009F151C"/>
    <w:rsid w:val="009F18B5"/>
    <w:rsid w:val="00A23FEE"/>
    <w:rsid w:val="00A24746"/>
    <w:rsid w:val="00A30F84"/>
    <w:rsid w:val="00A439C5"/>
    <w:rsid w:val="00A45A7A"/>
    <w:rsid w:val="00A505BE"/>
    <w:rsid w:val="00A70941"/>
    <w:rsid w:val="00A74F5F"/>
    <w:rsid w:val="00A76F79"/>
    <w:rsid w:val="00AA05DA"/>
    <w:rsid w:val="00AA68A2"/>
    <w:rsid w:val="00AD03B3"/>
    <w:rsid w:val="00AE0A5F"/>
    <w:rsid w:val="00AF6D39"/>
    <w:rsid w:val="00B10C5F"/>
    <w:rsid w:val="00B147A3"/>
    <w:rsid w:val="00B51901"/>
    <w:rsid w:val="00B57BE8"/>
    <w:rsid w:val="00B66AE5"/>
    <w:rsid w:val="00B74D21"/>
    <w:rsid w:val="00B82A84"/>
    <w:rsid w:val="00B91A13"/>
    <w:rsid w:val="00B97D0A"/>
    <w:rsid w:val="00BD4641"/>
    <w:rsid w:val="00BF2BEC"/>
    <w:rsid w:val="00C00C13"/>
    <w:rsid w:val="00C108CF"/>
    <w:rsid w:val="00C16D14"/>
    <w:rsid w:val="00C3134A"/>
    <w:rsid w:val="00C45721"/>
    <w:rsid w:val="00C5611B"/>
    <w:rsid w:val="00C65849"/>
    <w:rsid w:val="00C70BE1"/>
    <w:rsid w:val="00C73AE1"/>
    <w:rsid w:val="00C74CAA"/>
    <w:rsid w:val="00C93366"/>
    <w:rsid w:val="00CA345D"/>
    <w:rsid w:val="00CA4062"/>
    <w:rsid w:val="00CB2B1B"/>
    <w:rsid w:val="00CD3A99"/>
    <w:rsid w:val="00CE3D1A"/>
    <w:rsid w:val="00CE7AA0"/>
    <w:rsid w:val="00CF7553"/>
    <w:rsid w:val="00D060D1"/>
    <w:rsid w:val="00D0672A"/>
    <w:rsid w:val="00D11383"/>
    <w:rsid w:val="00D15E30"/>
    <w:rsid w:val="00D23017"/>
    <w:rsid w:val="00D52CDF"/>
    <w:rsid w:val="00D70110"/>
    <w:rsid w:val="00D763DA"/>
    <w:rsid w:val="00D76A7F"/>
    <w:rsid w:val="00D779C8"/>
    <w:rsid w:val="00DA5F6F"/>
    <w:rsid w:val="00DA6974"/>
    <w:rsid w:val="00DA7CF6"/>
    <w:rsid w:val="00DB5CBC"/>
    <w:rsid w:val="00DB6632"/>
    <w:rsid w:val="00DC2CBD"/>
    <w:rsid w:val="00DE5890"/>
    <w:rsid w:val="00DF1314"/>
    <w:rsid w:val="00E065F7"/>
    <w:rsid w:val="00E24542"/>
    <w:rsid w:val="00E251B1"/>
    <w:rsid w:val="00E306A7"/>
    <w:rsid w:val="00E87090"/>
    <w:rsid w:val="00EA2780"/>
    <w:rsid w:val="00EA4313"/>
    <w:rsid w:val="00EB4C87"/>
    <w:rsid w:val="00EC0CBC"/>
    <w:rsid w:val="00EC71F5"/>
    <w:rsid w:val="00EC7A43"/>
    <w:rsid w:val="00ED19A5"/>
    <w:rsid w:val="00EF671F"/>
    <w:rsid w:val="00F13503"/>
    <w:rsid w:val="00F26973"/>
    <w:rsid w:val="00F40897"/>
    <w:rsid w:val="00F53C53"/>
    <w:rsid w:val="00F7739E"/>
    <w:rsid w:val="00FC7573"/>
    <w:rsid w:val="00FD3576"/>
    <w:rsid w:val="00FD360E"/>
    <w:rsid w:val="00FE79ED"/>
  </w:rsids>
  <m:mathPr>
    <m:mathFont m:val="Cambria Math"/>
    <m:brkBin m:val="before"/>
    <m:brkBinSub m:val="--"/>
    <m:smallFrac m:val="0"/>
    <m:dispDef/>
    <m:lMargin m:val="0"/>
    <m:rMargin m:val="0"/>
    <m:defJc m:val="centerGroup"/>
    <m:wrapIndent m:val="1440"/>
    <m:intLim m:val="subSup"/>
    <m:naryLim m:val="undOvr"/>
  </m:mathPr>
  <w:themeFontLang w:val="da-DK" w:eastAsia="zh-TW"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72C3E"/>
    <w:rPr>
      <w:color w:val="auto"/>
    </w:rPr>
  </w:style>
  <w:style w:type="paragraph" w:customStyle="1" w:styleId="AF915FA4C92442FAB83366A207D3689A">
    <w:name w:val="AF915FA4C92442FAB83366A207D3689A"/>
    <w:rsid w:val="00FD360E"/>
    <w:rPr>
      <w:lang w:val="en-GB" w:eastAsia="zh-TW"/>
    </w:rPr>
  </w:style>
  <w:style w:type="paragraph" w:customStyle="1" w:styleId="1A4EC07D64DE45C2897EFBDE8CE03490">
    <w:name w:val="1A4EC07D64DE45C2897EFBDE8CE03490"/>
    <w:rsid w:val="00D0672A"/>
    <w:rPr>
      <w:lang w:val="en-GB" w:eastAsia="zh-TW"/>
    </w:rPr>
  </w:style>
  <w:style w:type="paragraph" w:customStyle="1" w:styleId="EE40C39127CD4014B1FC91A9709E6AEA">
    <w:name w:val="EE40C39127CD4014B1FC91A9709E6AEA"/>
    <w:rsid w:val="00FD360E"/>
    <w:rPr>
      <w:lang w:val="en-GB" w:eastAsia="zh-TW"/>
    </w:rPr>
  </w:style>
  <w:style w:type="paragraph" w:customStyle="1" w:styleId="109E96CEF6F24659BF24014A0A061843">
    <w:name w:val="109E96CEF6F24659BF24014A0A061843"/>
    <w:rsid w:val="00634E7B"/>
    <w:rPr>
      <w:lang w:val="en-GB" w:eastAsia="zh-TW"/>
    </w:rPr>
  </w:style>
  <w:style w:type="paragraph" w:customStyle="1" w:styleId="ECEF413C82CF4A1A98CF942B74C53C59">
    <w:name w:val="ECEF413C82CF4A1A98CF942B74C53C59"/>
    <w:rsid w:val="00634E7B"/>
    <w:rPr>
      <w:lang w:val="en-GB" w:eastAsia="zh-TW"/>
    </w:rPr>
  </w:style>
  <w:style w:type="paragraph" w:customStyle="1" w:styleId="B67DA011795A4AF7BA0B3A4E11E4CC13">
    <w:name w:val="B67DA011795A4AF7BA0B3A4E11E4CC13"/>
    <w:rsid w:val="00672C3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Kammeradvokaten 2021">
      <a:dk1>
        <a:srgbClr val="000000"/>
      </a:dk1>
      <a:lt1>
        <a:srgbClr val="FFFFFF"/>
      </a:lt1>
      <a:dk2>
        <a:srgbClr val="FF665E"/>
      </a:dk2>
      <a:lt2>
        <a:srgbClr val="8AD2F1"/>
      </a:lt2>
      <a:accent1>
        <a:srgbClr val="6B8994"/>
      </a:accent1>
      <a:accent2>
        <a:srgbClr val="005978"/>
      </a:accent2>
      <a:accent3>
        <a:srgbClr val="8AD2F1"/>
      </a:accent3>
      <a:accent4>
        <a:srgbClr val="FFA763"/>
      </a:accent4>
      <a:accent5>
        <a:srgbClr val="50D691"/>
      </a:accent5>
      <a:accent6>
        <a:srgbClr val="EFCF00"/>
      </a:accent6>
      <a:hlink>
        <a:srgbClr val="6B8994"/>
      </a:hlink>
      <a:folHlink>
        <a:srgbClr val="6B8994"/>
      </a:folHlink>
    </a:clrScheme>
    <a:fontScheme name="Kammeradvokaten">
      <a:majorFont>
        <a:latin typeface="Century"/>
        <a:ea typeface=""/>
        <a:cs typeface=""/>
      </a:majorFont>
      <a:minorFont>
        <a:latin typeface="Century"/>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txDef>
  </a:objectDefaults>
  <a:extraClrSchemeLst/>
  <a:custClrLst>
    <a:custClr name="Mørkere blå">
      <a:srgbClr val="005978"/>
    </a:custClr>
    <a:custClr name="Mørkere blå">
      <a:srgbClr val="007ABB"/>
    </a:custClr>
    <a:custClr name="Mørkere blå">
      <a:srgbClr val="18A6E3"/>
    </a:custClr>
    <a:custClr name="Mørkere blå">
      <a:srgbClr val="59BFEB"/>
    </a:custClr>
    <a:custClr name="Primær blå">
      <a:srgbClr val="8AD2F1"/>
    </a:custClr>
    <a:custClr name="Lyser blå">
      <a:srgbClr val="A6DDF5"/>
    </a:custClr>
    <a:custClr name="Lyser blå">
      <a:srgbClr val="BBE5F7"/>
    </a:custClr>
    <a:custClr name="Color has no name">
      <a:srgbClr val="FFFFFF"/>
    </a:custClr>
    <a:custClr name="Color has no name">
      <a:srgbClr val="FFFFFF"/>
    </a:custClr>
    <a:custClr name="Mørkere grå">
      <a:srgbClr val="375E69"/>
    </a:custClr>
    <a:custClr name="Mørkere rød">
      <a:srgbClr val="850006"/>
    </a:custClr>
    <a:custClr name="Mørkere rød">
      <a:srgbClr val="A42127"/>
    </a:custClr>
    <a:custClr name="Mørkere rød">
      <a:srgbClr val="D11A32"/>
    </a:custClr>
    <a:custClr name="Mørkere rød">
      <a:srgbClr val="FF4A46"/>
    </a:custClr>
    <a:custClr name="Primær rød">
      <a:srgbClr val="FF665E"/>
    </a:custClr>
    <a:custClr name="Lysere rød">
      <a:srgbClr val="F4837D"/>
    </a:custClr>
    <a:custClr name="Lysere rød">
      <a:srgbClr val="F7A6A0"/>
    </a:custClr>
    <a:custClr name="Color has no name">
      <a:srgbClr val="FFFFFF"/>
    </a:custClr>
    <a:custClr name="Color has no name">
      <a:srgbClr val="FFFFFF"/>
    </a:custClr>
    <a:custClr name="Mørkere grå">
      <a:srgbClr val="4F7280"/>
    </a:custClr>
    <a:custClr name="Mørkere grøn">
      <a:srgbClr val="005934"/>
    </a:custClr>
    <a:custClr name="Mørkere grøn">
      <a:srgbClr val="00713F"/>
    </a:custClr>
    <a:custClr name="Mørkere grøn">
      <a:srgbClr val="009D4F"/>
    </a:custClr>
    <a:custClr name="Mørkere grøn">
      <a:srgbClr val="2DBE60"/>
    </a:custClr>
    <a:custClr name="Primær grøn">
      <a:srgbClr val="50D691"/>
    </a:custClr>
    <a:custClr name="Lysere grøn">
      <a:srgbClr val="74DEA8"/>
    </a:custClr>
    <a:custClr name="Lysere grøn">
      <a:srgbClr val="9FE7C7"/>
    </a:custClr>
    <a:custClr name="Color has no name">
      <a:srgbClr val="FFFFFF"/>
    </a:custClr>
    <a:custClr name="Color has no name">
      <a:srgbClr val="FFFFFF"/>
    </a:custClr>
    <a:custClr name="Mørkere grå">
      <a:srgbClr val="5C7D89"/>
    </a:custClr>
    <a:custClr name="Mørkere orange">
      <a:srgbClr val="96451A"/>
    </a:custClr>
    <a:custClr name="Mørkere orange">
      <a:srgbClr val="CF671A"/>
    </a:custClr>
    <a:custClr name="Mørkere orange">
      <a:srgbClr val="F6832F"/>
    </a:custClr>
    <a:custClr name="Mørkere orange">
      <a:srgbClr val="F7944B"/>
    </a:custClr>
    <a:custClr name="Primær orange">
      <a:srgbClr val="FFA763"/>
    </a:custClr>
    <a:custClr name="Lysere orange">
      <a:srgbClr val="FCC392"/>
    </a:custClr>
    <a:custClr name="Lysere orange">
      <a:srgbClr val="FDDCC0"/>
    </a:custClr>
    <a:custClr name="Color has no name">
      <a:srgbClr val="FFFFFF"/>
    </a:custClr>
    <a:custClr name="Lysere grå">
      <a:srgbClr val="94AAB2"/>
    </a:custClr>
    <a:custClr name="Mørkere grå">
      <a:srgbClr val="6B8994"/>
    </a:custClr>
    <a:custClr name="Mørkere gul">
      <a:srgbClr val="A67400"/>
    </a:custClr>
    <a:custClr name="Mørkere gul">
      <a:srgbClr val="CF9900"/>
    </a:custClr>
    <a:custClr name="Mørkere gul">
      <a:srgbClr val="DEB700"/>
    </a:custClr>
    <a:custClr name="Mørkere gul">
      <a:srgbClr val="EFCF00"/>
    </a:custClr>
    <a:custClr name="Primær gul">
      <a:srgbClr val="F3E121"/>
    </a:custClr>
    <a:custClr name="Lysere gul">
      <a:srgbClr val="FFF078"/>
    </a:custClr>
    <a:custClr name="Lysere gul">
      <a:srgbClr val="FFFBA6"/>
    </a:custClr>
    <a:custClr name="Color has no name">
      <a:srgbClr val="FFFFFF"/>
    </a:custClr>
    <a:custClr name="Lysere grå">
      <a:srgbClr val="ADBEC5"/>
    </a:custClr>
    <a:custClr name="Primær grå">
      <a:srgbClr val="809AA3"/>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mplafyTemplateConfiguration><![CDATA[{"elementsMetadata":[{"type":"richTextContentControl","id":"58fd2989-bf03-43cf-9d62-4fcd4206bdaf","elementConfiguration":{"format":"{{DateFormats.SkriftDate}}","binding":"Form.Date","removeAndKeepContent":false,"disableUpdates":false,"type":"date"}},{"type":"richTextContentControl","id":"ba8129b1-e854-4ce5-93aa-7c63ea687668","elementConfiguration":{"format":"{{DateFormats.GeneralDate}}","binding":"Form.Date","removeAndKeepContent":false,"disableUpdates":false,"type":"date"}},{"type":"richTextContentControl","id":"fec8773f-8eba-4b25-8c2c-5b080f2a0c02","elementConfiguration":{"binding":"Form.CaseNo","visibility":{"action":"hide","operator":"equals","compareValue":"[INTET SAGSNUMMER]"},"removeAndKeepContent":false,"disableUpdates":false,"type":"text"}},{"type":"richTextContentControl","id":"4e1540c0-1aab-4dbe-ba4c-86dedf78827c","elementConfiguration":{"binding":"Form.Watermark","visibility":{"action":"hide","binding":"Form.Watermark","operator":"in","compareValue":"","compareValues":["INGEN","Ingen"]},"removeAndKeepContent":false,"disableUpdates":false,"type":"text"}},{"type":"richTextContentControl","id":"7fd030f0-c8a9-4683-a27c-31a1c8b24706","elementConfiguration":{"binding":"Form.Watermark","visibility":{"action":"hide","binding":"Form.Watermark","operator":"in","compareValue":"","compareValues":["INGEN","Ingen"]},"removeAndKeepContent":false,"disableUpdates":false,"type":"text"}},{"type":"richTextContentControl","id":"0407dcda-7ad9-41ea-a6c7-6b6539f3a714","elementConfiguration":{"format":"{{DateFormats.GeneralDate}}","binding":"Form.Date","removeAndKeepContent":false,"disableUpdates":false,"type":"date"}},{"type":"richTextContentControl","id":"cd9c3895-16ea-40db-a4cb-597ba2da7a97","elementConfiguration":{"binding":"Form.CaseNo","visibility":{"action":"hide","operator":"equals","compareValue":"[INTET SAGSNUMMER]"},"removeAndKeepContent":false,"disableUpdates":false,"type":"text"}},{"type":"richTextContentControl","id":"8c1b5d0e-2864-424d-87bf-d8b1468f6519","elementConfiguration":{"binding":"Form.Watermark","visibility":{"action":"hide","binding":"Form.Watermark","operator":"in","compareValue":"","compareValues":["INGEN","Ingen"]},"removeAndKeepContent":false,"disableUpdates":false,"type":"text"}},{"type":"richTextContentControl","id":"195d289e-4a7d-4e9c-897b-cede95353747","elementConfiguration":{"binding":"Form.Watermark","visibility":{"action":"hide","binding":"Form.Watermark","operator":"in","compareValue":"","compareValues":["INGEN","Ingen"]},"removeAndKeepContent":false,"disableUpdates":false,"type":"text"}},{"type":"richTextContentControl","id":"55d216a1-8a04-4c8b-a4aa-a7f9ceee0adc","elementConfiguration":{"binding":"UserProfile.Office.CityOne_{{DocumentLanguage}}","visibility":{"action":"hide","operator":"equals","compareValue":""},"removeAndKeepContent":false,"disableUpdates":false,"type":"text"}},{"type":"richTextContentControl","id":"92d2a578-d506-4e40-9974-f4a36e827beb","elementConfiguration":{"binding":"UserProfile.Office.AddressOne_{{DocumentLanguage}}","visibility":{"action":"hide","operator":"equals","compareValue":""},"removeAndKeepContent":false,"disableUpdates":false,"type":"text"}},{"type":"richTextContentControl","id":"82843fc5-d0ed-4085-bc75-52dde34e6e81","elementConfiguration":{"binding":"UserProfile.Office.CityTwo_{{DocumentLanguage}}","visibility":{"action":"hide","operator":"equals","compareValue":""},"removeAndKeepContent":false,"disableUpdates":false,"type":"text"}},{"type":"richTextContentControl","id":"511c0706-9f99-4828-b7af-9f5c8a484e94","elementConfiguration":{"binding":"UserProfile.Office.AddressTwo_{{DocumentLanguage}}","visibility":{"action":"hide","operator":"equals","compareValue":""},"removeAndKeepContent":false,"disableUpdates":false,"type":"text"}},{"type":"richTextContentControl","id":"4abda297-f322-4a02-adb8-69e29c3cf59d","elementConfiguration":{"visibility":{"action":"hide","binding":"UserProfile.Office.Phone","operator":"equals","compareValue":""},"disableUpdates":false,"type":"group"}},{"type":"richTextContentControl","id":"81b07bc3-1d79-4772-9cd6-e7922cb98c6d","elementConfiguration":{"binding":"UserProfile.Office.Phone","removeAndKeepContent":false,"disableUpdates":false,"type":"text"}},{"type":"richTextContentControl","id":"67387efe-a133-48ba-9e0e-f82a585fc26e","elementConfiguration":{"binding":"Translations.Page","removeAndKeepContent":false,"disableUpdates":false,"type":"text"}},{"type":"shape","id":"72c8f1a8-ac31-4f67-b60b-71b8a4c449c9","elementConfiguration":{"visibility":{"action":"hide","binding":"Form.Watermark","operator":"in","compareValue":"","compareValues":["INGEN","Ingen"]},"disableUpdates":false,"type":"group"}},{"type":"shape","id":"070f1054-212e-488b-a217-347c849a80b7","elementConfiguration":{"visibility":{"action":"hide","binding":"Form.Watermark","operator":"in","compareValue":"","compareValues":["INGEN","Ingen"]},"disableUpdates":false,"type":"group"}}],"transformationConfigurations":[{"language":"{{DocumentLanguage}}","disableUpdates":false,"type":"proofingLanguage"},{"propertyName":"OfficeExtensionsSenderType","propertyValue":"{{Form.BestRegards.SenderType}}","disableUpdates":false,"type":"customDocumentProperty"},{"propertyName":"OfficeExtensionsInitialerOverride","propertyValue":"{{Form.Alternativeinitialer}}","disableUpdates":false,"type":"customDocumentProperty"},{"propertyName":"OfficeExtensionsMatterId","propertyValue":"{{Form.CaseNo}}","disableUpdates":false,"type":"customDocumentProperty"},{"propertyName":"OfficeExtensionsInitialerProfil","propertyValue":"{{UserProfile.Initials}}","disableUpdates":false,"type":"customDocumentProperty"},{"binding":"UserProfile.LogoInsertion.LogoPs_da-DK","shapeName":"Logo_PS","width":"","height":"{{UserProfile.LogoInsertion.LogoHeight}}","namedSections":"all","namedPages":"all","leftOffset":"0 cm","horizontalRelativePosition":"page","horizontalAlignment":"left","topOffset":"0 cm","verticalRelativePosition":"page","verticalAlignment":"top","imageTextWrapping":"inFrontOfText","disableUpdates":false,"type":"imageHeader"},{"binding":"UserProfile.LogoInsertion.LogoPs_en-GB","shapeName":"Logo_ENG_PS","width":"","height":"{{UserProfile.LogoInsertion.LogoHeight}}","namedSections":"all","namedPages":"all","leftOffset":"0 cm","horizontalRelativePosition":"page","horizontalAlignment":"left","topOffset":"0 cm","verticalRelativePosition":"page","verticalAlignment":"top","imageTextWrapping":"inFrontOfText","disableUpdates":false,"type":"imageHeader"},{"propertyName":"OfficeExtensionsAnsvarscenter","propertyValue":"{{UserProfile.Office.Ansvarscenter}}","disableUpdates":false,"type":"customDocumentProperty"},{"binding":"UserProfile.LogoInsertion.LogoKa_da-DK","shapeName":"Logo_KA","width":"","height":"{{UserProfile.LogoInsertion.LogoHeight}}","namedSections":"all","namedPages":"all","leftOffset":"0 cm","horizontalRelativePosition":"page","horizontalAlignment":"left","topOffset":"0 cm","verticalRelativePosition":"page","verticalAlignment":"top","imageTextWrapping":"inFrontOfText","disableUpdates":false,"type":"imageHeader"},{"binding":"UserProfile.LogoInsertion.LogoKa_en-GB","shapeName":"Logo_ENG_KA","width":"","height":"{{UserProfile.LogoInsertion.LogoHeight}}","namedSections":"all","namedPages":"all","leftOffset":"0 cm","horizontalRelativePosition":"page","horizontalAlignment":"left","topOffset":"0 cm","verticalRelativePosition":"page","verticalAlignment":"top","imageTextWrapping":"inFrontOfText","disableUpdates":false,"type":"imageHeader"},{"propertyName":"OfficeExtensionsEmaildomain","propertyValue":"{{UserProfile.Office.EmailDomain}}","disableUpdates":false,"type":"customDocumentProperty"},{"propertyName":"OfficeExtensionsDirectDetails","propertyValue":"{{Form.Visibility.Visible}}","disableUpdates":false,"type":"customDocumentProperty"}],"isBaseTemplate":false,"templateName":"Skrift/Notat - Layout","templateDescription":"","enableDocumentContentUpdater":true,"version":"1.12"}]]></TemplafyTemplateConfiguration>
</file>

<file path=customXml/item2.xml><?xml version="1.0" encoding="utf-8"?>
<TemplafyFormConfiguration><![CDATA[{"formFields":[{"required":false,"placeholder":"","lines":0,"defaultValue":"[INTET SAGSNUMMER]","type":"textBox","name":"CaseNo","label":"Sagsnr. ","helpTexts":{"prefix":"","postfix":""},"spacing":{},"fullyQualifiedName":"CaseNo"},{"required":true,"type":"datePicker","name":"Date","label":"Dato","helpTexts":{"prefix":"","postfix":""},"spacing":{},"fullyQualifiedName":"Date"},{"hideIfNoUserInteractionRequired":false,"distinct":true,"required":false,"autoSelectFirstOption":false,"dataSource":"DirectDetails Skrift visibility","displayColumn":"label","defaultValue":"2","type":"dropDown","name":"Visibility","label":"Indsæt Direkte Oplysninger i sidehovedet?","helpTexts":{"prefix":"","postfix":""},"spacing":{},"fullyQualifiedName":"Visibility"},{"column":"watermark","required":true,"placeholder":"","autoSelectFirstOption":true,"dataSource":"Watermark","type":"comboBox","name":"Watermark","label":"Mærke","helpTexts":{"prefix":"Vælg tekst fra listen nedenfor eller indtast egen tekst.","postfix":"Tryk på krydset for at ændre valgte mærke"},"spacing":{},"fullyQualifiedName":"Watermark"},{"required":false,"placeholder":"","lines":0,"type":"textBox","name":"Alternativeinitialer","label":"Alternative Initialer","helpTexts":{"prefix":"","postfix":""},"spacing":{},"fullyQualifiedName":"Alternativeinitialer"}],"formDataEntries":[{"name":"CaseNo","value":"U9Ogyzl4MiK0vCqg6bsRbA=="},{"name":"Date","value":"2+94izlMdxtKhuH/z4krxw=="},{"name":"Visibility","value":"nJ5REL1M1TkH74tSalr5mw=="},{"name":"Watermark","value":"n1wkMV+m239dqyGTY3YlKA=="},{"name":"Alternativeinitialer","value":"EycDuGNGZICDvR2DebE+8A=="}]}]]></TemplafyFormConfiguratio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 A C T I V E ! 2 7 7 9 9 6 7 1 . 1 < / d o c u m e n t i d >  
     < s e n d e r i d > M S O < / s e n d e r i d >  
     < s e n d e r e m a i l > M S O @ P O U L S C H M I T H . D K < / s e n d e r e m a i l >  
     < l a s t m o d i f i e d > 2 0 2 4 - 0 7 - 0 2 T 1 5 : 5 9 : 0 0 . 0 0 0 0 0 0 0 + 0 2 : 0 0 < / l a s t m o d i f i e d >  
     < d a t a b a s e > A C T I V E < / d a t a b a s e >  
 < / p r o p e r t i e s > 
</file>

<file path=customXml/itemProps1.xml><?xml version="1.0" encoding="utf-8"?>
<ds:datastoreItem xmlns:ds="http://schemas.openxmlformats.org/officeDocument/2006/customXml" ds:itemID="{38E71C3F-4C9D-496B-A692-16F7697B19AF}">
  <ds:schemaRefs/>
</ds:datastoreItem>
</file>

<file path=customXml/itemProps2.xml><?xml version="1.0" encoding="utf-8"?>
<ds:datastoreItem xmlns:ds="http://schemas.openxmlformats.org/officeDocument/2006/customXml" ds:itemID="{B32D7602-5C1B-4A34-9B74-FA6C83F77BCA}">
  <ds:schemaRefs/>
</ds:datastoreItem>
</file>

<file path=customXml/itemProps3.xml><?xml version="1.0" encoding="utf-8"?>
<ds:datastoreItem xmlns:ds="http://schemas.openxmlformats.org/officeDocument/2006/customXml" ds:itemID="{76908554-4C7F-472F-898D-7973C1FA6136}">
  <ds:schemaRefs>
    <ds:schemaRef ds:uri="http://schemas.openxmlformats.org/officeDocument/2006/bibliography"/>
  </ds:schemaRefs>
</ds:datastoreItem>
</file>

<file path=customXml/itemProps4.xml><?xml version="1.0" encoding="utf-8"?>
<ds:datastoreItem xmlns:ds="http://schemas.openxmlformats.org/officeDocument/2006/customXml" ds:itemID="{706B8BA1-957F-47CE-8FD1-9C661D836E2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100</Pages>
  <Words>31842</Words>
  <Characters>194237</Characters>
  <Application>Microsoft Office Word</Application>
  <DocSecurity>0</DocSecurity>
  <Lines>1618</Lines>
  <Paragraphs>451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2025-03-20T12:54:00Z</dcterms:created>
  <dcterms:modified xsi:type="dcterms:W3CDTF">2025-03-20T12:54:00Z</dcterms:modified>
</cp:coreProperties>
</file>